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Glide Prüfbericht zur Abnahme</w:t>
      </w:r>
    </w:p>
    <w:p>
      <w:pPr>
        <w:pStyle w:val="Subtitle"/>
      </w:pPr>
      <w:r>
        <w:t>Begonnene Features und technische Arbeiten bis zum Quellkandidaten 3.49.0</w:t>
      </w:r>
    </w:p>
    <w:p>
      <w:r>
        <w:rPr>
          <w:b w:val="0"/>
        </w:rPr>
        <w:t>Prüfstichtag 28.10.2026  ·  Aufgabenformat 26  ·  Berichtsfassung 1</w:t>
      </w:r>
    </w:p>
    <w:p>
      <w:pPr>
        <w:pStyle w:val="Heading1"/>
      </w:pPr>
      <w:r>
        <w:t>1 Ergebnis und Abnahmeempfehlung</w:t>
      </w:r>
    </w:p>
    <w:p>
      <w:r>
        <w:rPr>
          <w:b/>
        </w:rPr>
        <w:t>Nicht alle begonnenen Arbeiten sind abgeschlossen. Die gewählten Kernfunktionen sind überwiegend implementiert; eine vollständige Abnahme des Gesamtstands ist nicht belegt. Insbesondere P8/4.0, technische Querschnittsarbeiten, WA-41 und die Auslieferung des aktuellen Quellstands bleiben offen.</w:t>
      </w:r>
    </w:p>
    <w:p>
      <w:r>
        <w:rPr>
          <w:b w:val="0"/>
        </w:rPr>
        <w:t>Für einzelne belegte Implementierungen kann eine technische Teilabnahme mit ausdrücklich benannten Grenzen dokumentiert werden. Die Gesamtabnahme einschließlich aktueller Lieferpakete und öffentlicher Freigabe wird zurückgestellt. Dieser Bericht erteilt keine menschliche oder rechtsverbindliche Abnahmeentscheidung.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48"/>
        <w:gridCol w:w="6690"/>
      </w:tblGrid>
      <w:tr>
        <w:trPr>
          <w:tblHeader/>
          <w:cantSplit/>
        </w:trPr>
        <w:tc>
          <w:tcPr>
            <w:tcW w:type="dxa" w:w="2948"/>
            <w:vAlign w:val="center"/>
            <w:tcMar>
              <w:top w:w="75" w:type="dxa"/>
              <w:left w:w="75" w:type="dxa"/>
              <w:bottom w:w="75" w:type="dxa"/>
              <w:right w:w="75" w:type="dxa"/>
            </w:tcMar>
            <w:shd w:val="clear" w:color="auto" w:fill="DCE6EF"/>
          </w:tcPr>
          <w:p>
            <w:pPr>
              <w:spacing w:after="40" w:before="40" w:line="245" w:lineRule="auto"/>
            </w:pPr>
            <w:r>
              <w:rPr>
                <w:rFonts w:ascii="Calibri" w:hAnsi="Calibri"/>
                <w:b/>
                <w:color w:val="000000"/>
                <w:sz w:val="20"/>
              </w:rPr>
              <w:t>Prüfobjekt</w:t>
            </w:r>
          </w:p>
        </w:tc>
        <w:tc>
          <w:tcPr>
            <w:tcW w:type="dxa" w:w="6690"/>
            <w:vAlign w:val="center"/>
            <w:tcMar>
              <w:top w:w="75" w:type="dxa"/>
              <w:left w:w="75" w:type="dxa"/>
              <w:bottom w:w="75" w:type="dxa"/>
              <w:right w:w="75" w:type="dxa"/>
            </w:tcMar>
            <w:shd w:val="clear" w:color="auto" w:fill="DCE6EF"/>
          </w:tcPr>
          <w:p>
            <w:pPr>
              <w:spacing w:after="40" w:before="40" w:line="245" w:lineRule="auto"/>
            </w:pPr>
            <w:r>
              <w:rPr>
                <w:rFonts w:ascii="Calibri" w:hAnsi="Calibri"/>
                <w:b/>
                <w:color w:val="000000"/>
                <w:sz w:val="20"/>
              </w:rPr>
              <w:t>Tatsächlicher Stand</w:t>
            </w:r>
          </w:p>
        </w:tc>
      </w:tr>
      <w:tr>
        <w:trPr>
          <w:cantSplit/>
        </w:trPr>
        <w:tc>
          <w:tcPr>
            <w:tcW w:type="dxa" w:w="2948"/>
            <w:vAlign w:val="center"/>
            <w:tcMar>
              <w:top w:w="75" w:type="dxa"/>
              <w:left w:w="75" w:type="dxa"/>
              <w:bottom w:w="75" w:type="dxa"/>
              <w:right w:w="75" w:type="dxa"/>
            </w:tcMar>
            <w:shd w:val="clear" w:color="auto" w:fill="FFFFFF"/>
          </w:tcPr>
          <w:p>
            <w:pPr>
              <w:spacing w:after="40" w:before="40" w:line="245" w:lineRule="auto"/>
            </w:pPr>
            <w:r>
              <w:rPr>
                <w:rFonts w:ascii="Calibri" w:hAnsi="Calibri"/>
                <w:sz w:val="20"/>
              </w:rPr>
              <w:t>Quellkandidat</w:t>
            </w:r>
          </w:p>
        </w:tc>
        <w:tc>
          <w:tcPr>
            <w:tcW w:type="dxa" w:w="6690"/>
            <w:vAlign w:val="center"/>
            <w:tcMar>
              <w:top w:w="75" w:type="dxa"/>
              <w:left w:w="75" w:type="dxa"/>
              <w:bottom w:w="75" w:type="dxa"/>
              <w:right w:w="75" w:type="dxa"/>
            </w:tcMar>
            <w:shd w:val="clear" w:color="auto" w:fill="FFFFFF"/>
          </w:tcPr>
          <w:p>
            <w:pPr>
              <w:spacing w:after="40" w:before="40" w:line="245" w:lineRule="auto"/>
            </w:pPr>
            <w:r>
              <w:rPr>
                <w:rFonts w:ascii="Calibri" w:hAnsi="Calibri"/>
                <w:sz w:val="20"/>
              </w:rPr>
              <w:t>3.49.0 / Format 26; Apphash im Quellenanhang</w:t>
            </w:r>
          </w:p>
        </w:tc>
      </w:tr>
      <w:tr>
        <w:trPr>
          <w:cantSplit/>
        </w:trPr>
        <w:tc>
          <w:tcPr>
            <w:tcW w:type="dxa" w:w="2948"/>
            <w:vAlign w:val="center"/>
            <w:tcMar>
              <w:top w:w="75" w:type="dxa"/>
              <w:left w:w="75" w:type="dxa"/>
              <w:bottom w:w="75" w:type="dxa"/>
              <w:right w:w="75" w:type="dxa"/>
            </w:tcMar>
            <w:shd w:val="clear" w:color="auto" w:fill="F2F5F7"/>
          </w:tcPr>
          <w:p>
            <w:pPr>
              <w:spacing w:after="40" w:before="40" w:line="245" w:lineRule="auto"/>
            </w:pPr>
            <w:r>
              <w:rPr>
                <w:rFonts w:ascii="Calibri" w:hAnsi="Calibri"/>
                <w:sz w:val="20"/>
              </w:rPr>
              <w:t>Startbare Python-Fassung</w:t>
            </w:r>
          </w:p>
        </w:tc>
        <w:tc>
          <w:tcPr>
            <w:tcW w:type="dxa" w:w="6690"/>
            <w:vAlign w:val="center"/>
            <w:tcMar>
              <w:top w:w="75" w:type="dxa"/>
              <w:left w:w="75" w:type="dxa"/>
              <w:bottom w:w="75" w:type="dxa"/>
              <w:right w:w="75" w:type="dxa"/>
            </w:tcMar>
            <w:shd w:val="clear" w:color="auto" w:fill="F2F5F7"/>
          </w:tcPr>
          <w:p>
            <w:pPr>
              <w:spacing w:after="40" w:before="40" w:line="245" w:lineRule="auto"/>
            </w:pPr>
            <w:r>
              <w:rPr>
                <w:rFonts w:ascii="Calibri" w:hAnsi="Calibri"/>
                <w:sz w:val="20"/>
              </w:rPr>
              <w:t>3.47.0 / Format 26</w:t>
            </w:r>
          </w:p>
        </w:tc>
      </w:tr>
      <w:tr>
        <w:trPr>
          <w:cantSplit/>
        </w:trPr>
        <w:tc>
          <w:tcPr>
            <w:tcW w:type="dxa" w:w="2948"/>
            <w:vAlign w:val="center"/>
            <w:tcMar>
              <w:top w:w="75" w:type="dxa"/>
              <w:left w:w="75" w:type="dxa"/>
              <w:bottom w:w="75" w:type="dxa"/>
              <w:right w:w="75" w:type="dxa"/>
            </w:tcMar>
            <w:shd w:val="clear" w:color="auto" w:fill="FFFFFF"/>
          </w:tcPr>
          <w:p>
            <w:pPr>
              <w:spacing w:after="40" w:before="40" w:line="245" w:lineRule="auto"/>
            </w:pPr>
            <w:r>
              <w:rPr>
                <w:rFonts w:ascii="Calibri" w:hAnsi="Calibri"/>
                <w:sz w:val="20"/>
              </w:rPr>
              <w:t>Eigenständige Windows-/Mac-Pakete</w:t>
            </w:r>
          </w:p>
        </w:tc>
        <w:tc>
          <w:tcPr>
            <w:tcW w:type="dxa" w:w="6690"/>
            <w:vAlign w:val="center"/>
            <w:tcMar>
              <w:top w:w="75" w:type="dxa"/>
              <w:left w:w="75" w:type="dxa"/>
              <w:bottom w:w="75" w:type="dxa"/>
              <w:right w:w="75" w:type="dxa"/>
            </w:tcMar>
            <w:shd w:val="clear" w:color="auto" w:fill="FFFFFF"/>
          </w:tcPr>
          <w:p>
            <w:pPr>
              <w:spacing w:after="40" w:before="40" w:line="245" w:lineRule="auto"/>
            </w:pPr>
            <w:r>
              <w:rPr>
                <w:rFonts w:ascii="Calibri" w:hAnsi="Calibri"/>
                <w:sz w:val="20"/>
              </w:rPr>
              <w:t>3.45.0; beide Archive aktuell hashgleich zum Liefernachweis</w:t>
            </w:r>
          </w:p>
        </w:tc>
      </w:tr>
      <w:tr>
        <w:trPr>
          <w:cantSplit/>
        </w:trPr>
        <w:tc>
          <w:tcPr>
            <w:tcW w:type="dxa" w:w="2948"/>
            <w:vAlign w:val="center"/>
            <w:tcMar>
              <w:top w:w="75" w:type="dxa"/>
              <w:left w:w="75" w:type="dxa"/>
              <w:bottom w:w="75" w:type="dxa"/>
              <w:right w:w="75" w:type="dxa"/>
            </w:tcMar>
            <w:shd w:val="clear" w:color="auto" w:fill="F2F5F7"/>
          </w:tcPr>
          <w:p>
            <w:pPr>
              <w:spacing w:after="40" w:before="40" w:line="245" w:lineRule="auto"/>
            </w:pPr>
            <w:r>
              <w:rPr>
                <w:rFonts w:ascii="Calibri" w:hAnsi="Calibri"/>
                <w:sz w:val="20"/>
              </w:rPr>
              <w:t>Neue CI-Grundstufe</w:t>
            </w:r>
          </w:p>
        </w:tc>
        <w:tc>
          <w:tcPr>
            <w:tcW w:type="dxa" w:w="6690"/>
            <w:vAlign w:val="center"/>
            <w:tcMar>
              <w:top w:w="75" w:type="dxa"/>
              <w:left w:w="75" w:type="dxa"/>
              <w:bottom w:w="75" w:type="dxa"/>
              <w:right w:w="75" w:type="dxa"/>
            </w:tcMar>
            <w:shd w:val="clear" w:color="auto" w:fill="F2F5F7"/>
          </w:tcPr>
          <w:p>
            <w:pPr>
              <w:spacing w:after="40" w:before="40" w:line="245" w:lineRule="auto"/>
            </w:pPr>
            <w:r>
              <w:rPr>
                <w:rFonts w:ascii="Calibri" w:hAnsi="Calibri"/>
                <w:sz w:val="20"/>
              </w:rPr>
              <w:t>Bestanden; 19 Schritte, Lieferstand als Hinweis</w:t>
            </w:r>
          </w:p>
        </w:tc>
      </w:tr>
      <w:tr>
        <w:trPr>
          <w:cantSplit/>
        </w:trPr>
        <w:tc>
          <w:tcPr>
            <w:tcW w:type="dxa" w:w="2948"/>
            <w:vAlign w:val="center"/>
            <w:tcMar>
              <w:top w:w="75" w:type="dxa"/>
              <w:left w:w="75" w:type="dxa"/>
              <w:bottom w:w="75" w:type="dxa"/>
              <w:right w:w="75" w:type="dxa"/>
            </w:tcMar>
            <w:shd w:val="clear" w:color="auto" w:fill="FFFFFF"/>
          </w:tcPr>
          <w:p>
            <w:pPr>
              <w:spacing w:after="40" w:before="40" w:line="245" w:lineRule="auto"/>
            </w:pPr>
            <w:r>
              <w:rPr>
                <w:rFonts w:ascii="Calibri" w:hAnsi="Calibri"/>
                <w:sz w:val="20"/>
              </w:rPr>
              <w:t>Neue Funktionsregression</w:t>
            </w:r>
          </w:p>
        </w:tc>
        <w:tc>
          <w:tcPr>
            <w:tcW w:type="dxa" w:w="6690"/>
            <w:vAlign w:val="center"/>
            <w:tcMar>
              <w:top w:w="75" w:type="dxa"/>
              <w:left w:w="75" w:type="dxa"/>
              <w:bottom w:w="75" w:type="dxa"/>
              <w:right w:w="75" w:type="dxa"/>
            </w:tcMar>
            <w:shd w:val="clear" w:color="auto" w:fill="FFFFFF"/>
          </w:tcPr>
          <w:p>
            <w:pPr>
              <w:spacing w:after="40" w:before="40" w:line="245" w:lineRule="auto"/>
            </w:pPr>
            <w:r>
              <w:rPr>
                <w:rFonts w:ascii="Calibri" w:hAnsi="Calibri"/>
                <w:sz w:val="20"/>
              </w:rPr>
              <w:t>FP-01: 8 von 9 Fällen grün, ein roter Gültigkeitsfall</w:t>
            </w:r>
          </w:p>
        </w:tc>
      </w:tr>
      <w:tr>
        <w:trPr>
          <w:cantSplit/>
        </w:trPr>
        <w:tc>
          <w:tcPr>
            <w:tcW w:type="dxa" w:w="2948"/>
            <w:vAlign w:val="center"/>
            <w:tcMar>
              <w:top w:w="75" w:type="dxa"/>
              <w:left w:w="75" w:type="dxa"/>
              <w:bottom w:w="75" w:type="dxa"/>
              <w:right w:w="75" w:type="dxa"/>
            </w:tcMar>
            <w:shd w:val="clear" w:color="auto" w:fill="F2F5F7"/>
          </w:tcPr>
          <w:p>
            <w:pPr>
              <w:spacing w:after="40" w:before="40" w:line="245" w:lineRule="auto"/>
            </w:pPr>
            <w:r>
              <w:rPr>
                <w:rFonts w:ascii="Calibri" w:hAnsi="Calibri"/>
                <w:sz w:val="20"/>
              </w:rPr>
              <w:t>Breite Folgematrix</w:t>
            </w:r>
          </w:p>
        </w:tc>
        <w:tc>
          <w:tcPr>
            <w:tcW w:type="dxa" w:w="6690"/>
            <w:vAlign w:val="center"/>
            <w:tcMar>
              <w:top w:w="75" w:type="dxa"/>
              <w:left w:w="75" w:type="dxa"/>
              <w:bottom w:w="75" w:type="dxa"/>
              <w:right w:w="75" w:type="dxa"/>
            </w:tcMar>
            <w:shd w:val="clear" w:color="auto" w:fill="F2F5F7"/>
          </w:tcPr>
          <w:p>
            <w:pPr>
              <w:spacing w:after="40" w:before="40" w:line="245" w:lineRule="auto"/>
            </w:pPr>
            <w:r>
              <w:rPr>
                <w:rFonts w:ascii="Calibri" w:hAnsi="Calibri"/>
                <w:sz w:val="20"/>
              </w:rPr>
              <w:t>Nach rotem Fall gestoppt; zwölf Folgesuiten nicht ausgeführt</w:t>
            </w:r>
          </w:p>
        </w:tc>
      </w:tr>
      <w:tr>
        <w:trPr>
          <w:cantSplit/>
        </w:trPr>
        <w:tc>
          <w:tcPr>
            <w:tcW w:type="dxa" w:w="2948"/>
            <w:vAlign w:val="center"/>
            <w:tcMar>
              <w:top w:w="75" w:type="dxa"/>
              <w:left w:w="75" w:type="dxa"/>
              <w:bottom w:w="75" w:type="dxa"/>
              <w:right w:w="75" w:type="dxa"/>
            </w:tcMar>
            <w:shd w:val="clear" w:color="auto" w:fill="FFFFFF"/>
          </w:tcPr>
          <w:p>
            <w:pPr>
              <w:spacing w:after="40" w:before="40" w:line="245" w:lineRule="auto"/>
            </w:pPr>
            <w:r>
              <w:rPr>
                <w:rFonts w:ascii="Calibri" w:hAnsi="Calibri"/>
                <w:sz w:val="20"/>
              </w:rPr>
              <w:t>Globale Abnahme</w:t>
            </w:r>
          </w:p>
        </w:tc>
        <w:tc>
          <w:tcPr>
            <w:tcW w:type="dxa" w:w="6690"/>
            <w:vAlign w:val="center"/>
            <w:tcMar>
              <w:top w:w="75" w:type="dxa"/>
              <w:left w:w="75" w:type="dxa"/>
              <w:bottom w:w="75" w:type="dxa"/>
              <w:right w:w="75" w:type="dxa"/>
            </w:tcMar>
            <w:shd w:val="clear" w:color="auto" w:fill="FFFFFF"/>
          </w:tcPr>
          <w:p>
            <w:pPr>
              <w:spacing w:after="40" w:before="40" w:line="245" w:lineRule="auto"/>
            </w:pPr>
            <w:r>
              <w:rPr>
                <w:rFonts w:ascii="Calibri" w:hAnsi="Calibri"/>
                <w:sz w:val="20"/>
              </w:rPr>
              <w:t>Offen: keine vollständig grüne aktuelle Voll-/Native-/Menschenabnahme</w:t>
            </w:r>
          </w:p>
        </w:tc>
      </w:tr>
    </w:tbl>
    <w:p>
      <w:pPr>
        <w:spacing w:after="40"/>
      </w:pPr>
    </w:p>
    <w:p>
      <w:pPr>
        <w:pStyle w:val="Heading2"/>
      </w:pPr>
      <w:r>
        <w:t>Unmittelbar abnahmerelevant</w:t>
      </w:r>
    </w:p>
    <w:p>
      <w:r>
        <w:rPr>
          <w:b w:val="0"/>
        </w:rPr>
        <w:t>1. Den FP-01-Prüfadapter an den sauberen Sitzungsabschluss anpassen und den unveränderten Pflichtumfang erneut bestehen.</w:t>
        <w:br/>
        <w:t>2. Begonnene Teilumfänge und dokumentierte Abnahmegrenzen gezielt schließen.</w:t>
        <w:br/>
        <w:t>3. WA-41A/B getrennt klären und anschließend aktuelle Vollmatrix, Lieferung und native Abnahmen belegen.</w:t>
      </w:r>
    </w:p>
    <w:p>
      <w:r>
        <w:br w:type="page"/>
      </w:r>
    </w:p>
    <w:p>
      <w:pPr>
        <w:pStyle w:val="Heading1"/>
      </w:pPr>
      <w:r>
        <w:t>2 Prüfmaßstab und tatsächlich ausgeführte Prüfung</w:t>
      </w:r>
    </w:p>
    <w:p>
      <w:r>
        <w:rPr>
          <w:b w:val="0"/>
        </w:rPr>
        <w:t>Der Abgleich umfasst den aktuellen Entwicklungsplan mit seinen historischen Aufträgen, das konsolidierte Funktionsinventar, Entscheidungen, Funktionsvertrag, QA-Nachweise, manuelle Prüfliste, Quellmodule und vorhandene Lieferartefakte. Die 52 Abnahmeeinheiten in den folgenden Matrizen überschneiden sich teilweise fachlich; sie sind keine addierbare Anzahl unabhängiger Produktfeatures. B01 bis B22 sind zusätzlich einzeln aufgeführt.</w:t>
      </w:r>
    </w:p>
    <w:p>
      <w:r>
        <w:rPr>
          <w:b w:val="0"/>
        </w:rPr>
        <w:t>Abschluss wird in vier getrennten Achsen bewertet: Implementierung, ausgeführte Prüfung, tatsächliche Lieferung sowie menschliche/native Abnahme. Eine vorhandene Funktion oder eine grüne Unit-Suite allein schließt die anderen Achsen nicht. Nicht gewählte Optionen gelten nicht als liegengebliebene Umsetzung.</w:t>
      </w:r>
    </w:p>
    <w:p>
      <w:pPr>
        <w:pStyle w:val="Heading2"/>
      </w:pPr>
      <w:r>
        <w:t>Neue Nachweise dieses Audits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7257"/>
      </w:tblGrid>
      <w:tr>
        <w:trPr>
          <w:tblHeader/>
          <w:cantSplit/>
        </w:trPr>
        <w:tc>
          <w:tcPr>
            <w:tcW w:type="dxa" w:w="2381"/>
            <w:vAlign w:val="center"/>
            <w:tcMar>
              <w:top w:w="75" w:type="dxa"/>
              <w:left w:w="75" w:type="dxa"/>
              <w:bottom w:w="75" w:type="dxa"/>
              <w:right w:w="75" w:type="dxa"/>
            </w:tcMar>
            <w:shd w:val="clear" w:color="auto" w:fill="DCE6EF"/>
          </w:tcPr>
          <w:p>
            <w:pPr>
              <w:spacing w:after="40" w:before="40" w:line="245" w:lineRule="auto"/>
            </w:pPr>
            <w:r>
              <w:rPr>
                <w:rFonts w:ascii="Calibri" w:hAnsi="Calibri"/>
                <w:b/>
                <w:color w:val="000000"/>
                <w:sz w:val="19"/>
              </w:rPr>
              <w:t>Prüfung</w:t>
            </w:r>
          </w:p>
        </w:tc>
        <w:tc>
          <w:tcPr>
            <w:tcW w:type="dxa" w:w="7257"/>
            <w:vAlign w:val="center"/>
            <w:tcMar>
              <w:top w:w="75" w:type="dxa"/>
              <w:left w:w="75" w:type="dxa"/>
              <w:bottom w:w="75" w:type="dxa"/>
              <w:right w:w="75" w:type="dxa"/>
            </w:tcMar>
            <w:shd w:val="clear" w:color="auto" w:fill="DCE6EF"/>
          </w:tcPr>
          <w:p>
            <w:pPr>
              <w:spacing w:after="40" w:before="40" w:line="245" w:lineRule="auto"/>
            </w:pPr>
            <w:r>
              <w:rPr>
                <w:rFonts w:ascii="Calibri" w:hAnsi="Calibri"/>
                <w:b/>
                <w:color w:val="000000"/>
                <w:sz w:val="19"/>
              </w:rPr>
              <w:t>Ergebnis und Grenze</w:t>
            </w:r>
          </w:p>
        </w:tc>
      </w:tr>
      <w:tr>
        <w:trPr>
          <w:cantSplit/>
        </w:trPr>
        <w:tc>
          <w:tcPr>
            <w:tcW w:type="dxa" w:w="2381"/>
            <w:vAlign w:val="center"/>
            <w:tcMar>
              <w:top w:w="75" w:type="dxa"/>
              <w:left w:w="75" w:type="dxa"/>
              <w:bottom w:w="75" w:type="dxa"/>
              <w:right w:w="75" w:type="dxa"/>
            </w:tcMar>
            <w:shd w:val="clear" w:color="auto" w:fill="FFFFFF"/>
          </w:tcPr>
          <w:p>
            <w:pPr>
              <w:spacing w:after="40" w:before="40" w:line="245" w:lineRule="auto"/>
            </w:pPr>
            <w:r>
              <w:rPr>
                <w:rFonts w:ascii="Calibri" w:hAnsi="Calibri"/>
                <w:sz w:val="19"/>
              </w:rPr>
              <w:t>Unveränderliche Prüfkopie</w:t>
            </w:r>
          </w:p>
        </w:tc>
        <w:tc>
          <w:tcPr>
            <w:tcW w:type="dxa" w:w="7257"/>
            <w:vAlign w:val="center"/>
            <w:tcMar>
              <w:top w:w="75" w:type="dxa"/>
              <w:left w:w="75" w:type="dxa"/>
              <w:bottom w:w="75" w:type="dxa"/>
              <w:right w:w="75" w:type="dxa"/>
            </w:tcMar>
            <w:shd w:val="clear" w:color="auto" w:fill="FFFFFF"/>
          </w:tcPr>
          <w:p>
            <w:pPr>
              <w:spacing w:after="40" w:before="40" w:line="245" w:lineRule="auto"/>
            </w:pPr>
            <w:r>
              <w:rPr>
                <w:rFonts w:ascii="Calibri" w:hAnsi="Calibri"/>
                <w:sz w:val="19"/>
              </w:rPr>
              <w:t>Lokaler Gitklon mit aktuellen Änderungen; Quell-/Fixturehashes und isolierte Daten pro Prozess. Originalquelle nach dem Lauf unverändert.</w:t>
            </w:r>
          </w:p>
        </w:tc>
      </w:tr>
      <w:tr>
        <w:trPr>
          <w:cantSplit/>
        </w:trPr>
        <w:tc>
          <w:tcPr>
            <w:tcW w:type="dxa" w:w="2381"/>
            <w:vAlign w:val="center"/>
            <w:tcMar>
              <w:top w:w="75" w:type="dxa"/>
              <w:left w:w="75" w:type="dxa"/>
              <w:bottom w:w="75" w:type="dxa"/>
              <w:right w:w="75" w:type="dxa"/>
            </w:tcMar>
            <w:shd w:val="clear" w:color="auto" w:fill="F2F5F7"/>
          </w:tcPr>
          <w:p>
            <w:pPr>
              <w:spacing w:after="40" w:before="40" w:line="245" w:lineRule="auto"/>
            </w:pPr>
            <w:r>
              <w:rPr>
                <w:rFonts w:ascii="Calibri" w:hAnsi="Calibri"/>
                <w:sz w:val="19"/>
              </w:rPr>
              <w:t>CI-Grundstufe</w:t>
            </w:r>
          </w:p>
        </w:tc>
        <w:tc>
          <w:tcPr>
            <w:tcW w:type="dxa" w:w="7257"/>
            <w:vAlign w:val="center"/>
            <w:tcMar>
              <w:top w:w="75" w:type="dxa"/>
              <w:left w:w="75" w:type="dxa"/>
              <w:bottom w:w="75" w:type="dxa"/>
              <w:right w:w="75" w:type="dxa"/>
            </w:tcMar>
            <w:shd w:val="clear" w:color="auto" w:fill="F2F5F7"/>
          </w:tcPr>
          <w:p>
            <w:pPr>
              <w:spacing w:after="40" w:before="40" w:line="245" w:lineRule="auto"/>
            </w:pPr>
            <w:r>
              <w:rPr>
                <w:rFonts w:ascii="Calibri" w:hAnsi="Calibri"/>
                <w:sz w:val="19"/>
              </w:rPr>
              <w:t>220 Werkzeugtests (ein Skip), zweimal 1.060 Fachtests, fünf Analysen, Syntax/Version/Fixtures, Startprobe sowie Datenschutz-/Ablage-/Synchronisationskontrollen bestanden.</w:t>
            </w:r>
          </w:p>
        </w:tc>
      </w:tr>
      <w:tr>
        <w:trPr>
          <w:cantSplit/>
        </w:trPr>
        <w:tc>
          <w:tcPr>
            <w:tcW w:type="dxa" w:w="2381"/>
            <w:vAlign w:val="center"/>
            <w:tcMar>
              <w:top w:w="75" w:type="dxa"/>
              <w:left w:w="75" w:type="dxa"/>
              <w:bottom w:w="75" w:type="dxa"/>
              <w:right w:w="75" w:type="dxa"/>
            </w:tcMar>
            <w:shd w:val="clear" w:color="auto" w:fill="FFFFFF"/>
          </w:tcPr>
          <w:p>
            <w:pPr>
              <w:spacing w:after="40" w:before="40" w:line="245" w:lineRule="auto"/>
            </w:pPr>
            <w:r>
              <w:rPr>
                <w:rFonts w:ascii="Calibri" w:hAnsi="Calibri"/>
                <w:sz w:val="19"/>
              </w:rPr>
              <w:t>FP-01 Wiederholen</w:t>
            </w:r>
          </w:p>
        </w:tc>
        <w:tc>
          <w:tcPr>
            <w:tcW w:type="dxa" w:w="7257"/>
            <w:vAlign w:val="center"/>
            <w:tcMar>
              <w:top w:w="75" w:type="dxa"/>
              <w:left w:w="75" w:type="dxa"/>
              <w:bottom w:w="75" w:type="dxa"/>
              <w:right w:w="75" w:type="dxa"/>
            </w:tcMar>
            <w:shd w:val="clear" w:color="auto" w:fill="FFFFFF"/>
          </w:tcPr>
          <w:p>
            <w:pPr>
              <w:spacing w:after="40" w:before="40" w:line="245" w:lineRule="auto"/>
            </w:pPr>
            <w:r>
              <w:rPr>
                <w:rFonts w:ascii="Calibri" w:hAnsi="Calibri"/>
                <w:sz w:val="19"/>
              </w:rPr>
              <w:t>Acht Fälle grün; Gültigkeit rot mit TclError „Item … not found“. Kein grüner Gesamtstatus dieser Suite.</w:t>
            </w:r>
          </w:p>
        </w:tc>
      </w:tr>
      <w:tr>
        <w:trPr>
          <w:cantSplit/>
        </w:trPr>
        <w:tc>
          <w:tcPr>
            <w:tcW w:type="dxa" w:w="2381"/>
            <w:vAlign w:val="center"/>
            <w:tcMar>
              <w:top w:w="75" w:type="dxa"/>
              <w:left w:w="75" w:type="dxa"/>
              <w:bottom w:w="75" w:type="dxa"/>
              <w:right w:w="75" w:type="dxa"/>
            </w:tcMar>
            <w:shd w:val="clear" w:color="auto" w:fill="F2F5F7"/>
          </w:tcPr>
          <w:p>
            <w:pPr>
              <w:spacing w:after="40" w:before="40" w:line="245" w:lineRule="auto"/>
            </w:pPr>
            <w:r>
              <w:rPr>
                <w:rFonts w:ascii="Calibri" w:hAnsi="Calibri"/>
                <w:sz w:val="19"/>
              </w:rPr>
              <w:t>Begrenzte Ursachenprobe</w:t>
            </w:r>
          </w:p>
        </w:tc>
        <w:tc>
          <w:tcPr>
            <w:tcW w:type="dxa" w:w="7257"/>
            <w:vAlign w:val="center"/>
            <w:tcMar>
              <w:top w:w="75" w:type="dxa"/>
              <w:left w:w="75" w:type="dxa"/>
              <w:bottom w:w="75" w:type="dxa"/>
              <w:right w:w="75" w:type="dxa"/>
            </w:tcMar>
            <w:shd w:val="clear" w:color="auto" w:fill="F2F5F7"/>
          </w:tcPr>
          <w:p>
            <w:pPr>
              <w:spacing w:after="40" w:before="40" w:line="245" w:lineRule="auto"/>
            </w:pPr>
            <w:r>
              <w:rPr>
                <w:rFonts w:ascii="Calibri" w:hAnsi="Calibri"/>
                <w:sz w:val="19"/>
              </w:rPr>
              <w:t>Originalfehler reproduziert. Diagnosevariation mit sauberem Test-Sitzungsabschluss besteht dieselben Assertions; keine Produktions- oder Testquelldatei geändert.</w:t>
            </w:r>
          </w:p>
        </w:tc>
      </w:tr>
      <w:tr>
        <w:trPr>
          <w:cantSplit/>
        </w:trPr>
        <w:tc>
          <w:tcPr>
            <w:tcW w:type="dxa" w:w="2381"/>
            <w:vAlign w:val="center"/>
            <w:tcMar>
              <w:top w:w="75" w:type="dxa"/>
              <w:left w:w="75" w:type="dxa"/>
              <w:bottom w:w="75" w:type="dxa"/>
              <w:right w:w="75" w:type="dxa"/>
            </w:tcMar>
            <w:shd w:val="clear" w:color="auto" w:fill="FFFFFF"/>
          </w:tcPr>
          <w:p>
            <w:pPr>
              <w:spacing w:after="40" w:before="40" w:line="245" w:lineRule="auto"/>
            </w:pPr>
            <w:r>
              <w:rPr>
                <w:rFonts w:ascii="Calibri" w:hAnsi="Calibri"/>
                <w:sz w:val="19"/>
              </w:rPr>
              <w:t>Lieferkontrolle</w:t>
            </w:r>
          </w:p>
        </w:tc>
        <w:tc>
          <w:tcPr>
            <w:tcW w:type="dxa" w:w="7257"/>
            <w:vAlign w:val="center"/>
            <w:tcMar>
              <w:top w:w="75" w:type="dxa"/>
              <w:left w:w="75" w:type="dxa"/>
              <w:bottom w:w="75" w:type="dxa"/>
              <w:right w:w="75" w:type="dxa"/>
            </w:tcMar>
            <w:shd w:val="clear" w:color="auto" w:fill="FFFFFF"/>
          </w:tcPr>
          <w:p>
            <w:pPr>
              <w:spacing w:after="40" w:before="40" w:line="245" w:lineRule="auto"/>
            </w:pPr>
            <w:r>
              <w:rPr>
                <w:rFonts w:ascii="Calibri" w:hAnsi="Calibri"/>
                <w:sz w:val="19"/>
              </w:rPr>
              <w:t>Python 3.47.0/Format 26 gelesen; Windows-/Mac-Archive 3.45.0 anhand SHA-256 und eingebetteter Versionsmetadaten geprüft. Keine neue native Signatur-/Startprüfung.</w:t>
            </w:r>
          </w:p>
        </w:tc>
      </w:tr>
    </w:tbl>
    <w:p>
      <w:pPr>
        <w:spacing w:after="40"/>
      </w:pPr>
    </w:p>
    <w:p>
      <w:pPr>
        <w:pStyle w:val="Heading2"/>
      </w:pPr>
      <w:r>
        <w:t>Ausdrückliche Prüfgrenzen</w:t>
      </w:r>
    </w:p>
    <w:p>
      <w:r>
        <w:rPr>
          <w:b w:val="0"/>
        </w:rPr>
        <w:t>Die zwölf nachfolgenden Suiten wurden wegen des Integritäts-/Fehlerstopps nicht ausgeführt: Wiederholungsregeln, Ansichten, Seitenkarten, Erwähnungen, Aufträge, Markdownbaum, Arbeitsmodi, Wiederanlauf, Speicherstatus, Sicherungszentrale, Schutzrunde und Bildkonversion. Vorhandene datierte Belege werden dafür separat bewertet; sie werden nicht in neue Testerfolge umbenannt.</w:t>
      </w:r>
    </w:p>
    <w:p>
      <w:r>
        <w:rPr>
          <w:b w:val="0"/>
        </w:rPr>
        <w:t>Die bekannte 26.420-Punkte-/40-Runden-Speicherlast, Dauer-/Hardwaretests, native Mac-/Linux-Läufe, Screenreader- und Menschenabnahmen wurden nicht neu ausgeführt. FP-01 enthält einen regulären Speicherfall mit 10.001 Punkten und 20 Undo-/Redo-Schritten; dieser lief grün. Es erfolgte keine vollständige manuelle Zeilenprüfung sämtlicher Module und keine neue Sicherheitsvollprüfung.</w:t>
      </w:r>
    </w:p>
    <w:p>
      <w:r>
        <w:br w:type="page"/>
      </w:r>
    </w:p>
    <w:p>
      <w:pPr>
        <w:pStyle w:val="Heading1"/>
      </w:pPr>
      <w:r>
        <w:t>3 Historischer Funktionsbestand Teil 1</w:t>
      </w:r>
    </w:p>
    <w:p>
      <w:r>
        <w:rPr>
          <w:b w:val="0"/>
        </w:rPr>
        <w:t>Implementierung im konsolidierten Plan dokumentiert; aktuelle Modul-/Einstiegsbelege vorhanden. „Historisch“ bezeichnet einen datierten früheren Prüfstand und keinen frischen vollständigen Regressionstest dieses Audits. Quellen E01–E05.</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08"/>
        <w:gridCol w:w="2211"/>
        <w:gridCol w:w="1191"/>
        <w:gridCol w:w="3628"/>
      </w:tblGrid>
      <w:tr>
        <w:trPr>
          <w:tblHeader/>
          <w:cantSplit/>
        </w:trPr>
        <w:tc>
          <w:tcPr>
            <w:tcW w:type="dxa" w:w="2608"/>
            <w:vAlign w:val="center"/>
            <w:tcMar>
              <w:top w:w="75" w:type="dxa"/>
              <w:left w:w="75" w:type="dxa"/>
              <w:bottom w:w="75" w:type="dxa"/>
              <w:right w:w="75" w:type="dxa"/>
            </w:tcMar>
            <w:shd w:val="clear" w:color="auto" w:fill="DCE6EF"/>
          </w:tcPr>
          <w:p>
            <w:pPr>
              <w:spacing w:after="40" w:before="40" w:line="245" w:lineRule="auto"/>
            </w:pPr>
            <w:r>
              <w:rPr>
                <w:rFonts w:ascii="Calibri" w:hAnsi="Calibri"/>
                <w:b/>
                <w:color w:val="000000"/>
                <w:sz w:val="18"/>
              </w:rPr>
              <w:t>Kennung und Umfang</w:t>
            </w:r>
          </w:p>
        </w:tc>
        <w:tc>
          <w:tcPr>
            <w:tcW w:type="dxa" w:w="2211"/>
            <w:vAlign w:val="center"/>
            <w:tcMar>
              <w:top w:w="75" w:type="dxa"/>
              <w:left w:w="75" w:type="dxa"/>
              <w:bottom w:w="75" w:type="dxa"/>
              <w:right w:w="75" w:type="dxa"/>
            </w:tcMar>
            <w:shd w:val="clear" w:color="auto" w:fill="DCE6EF"/>
          </w:tcPr>
          <w:p>
            <w:pPr>
              <w:spacing w:after="40" w:before="40" w:line="245" w:lineRule="auto"/>
            </w:pPr>
            <w:r>
              <w:rPr>
                <w:rFonts w:ascii="Calibri" w:hAnsi="Calibri"/>
                <w:b/>
                <w:color w:val="000000"/>
                <w:sz w:val="18"/>
              </w:rPr>
              <w:t>Implementierung und Prüfung</w:t>
            </w:r>
          </w:p>
        </w:tc>
        <w:tc>
          <w:tcPr>
            <w:tcW w:type="dxa" w:w="1191"/>
            <w:vAlign w:val="center"/>
            <w:tcMar>
              <w:top w:w="75" w:type="dxa"/>
              <w:left w:w="75" w:type="dxa"/>
              <w:bottom w:w="75" w:type="dxa"/>
              <w:right w:w="75" w:type="dxa"/>
            </w:tcMar>
            <w:shd w:val="clear" w:color="auto" w:fill="DCE6EF"/>
          </w:tcPr>
          <w:p>
            <w:pPr>
              <w:spacing w:after="40" w:before="40" w:line="245" w:lineRule="auto"/>
            </w:pPr>
            <w:r>
              <w:rPr>
                <w:rFonts w:ascii="Calibri" w:hAnsi="Calibri"/>
                <w:b/>
                <w:color w:val="000000"/>
                <w:sz w:val="18"/>
              </w:rPr>
              <w:t>Lieferstand</w:t>
            </w:r>
          </w:p>
        </w:tc>
        <w:tc>
          <w:tcPr>
            <w:tcW w:type="dxa" w:w="3628"/>
            <w:vAlign w:val="center"/>
            <w:tcMar>
              <w:top w:w="75" w:type="dxa"/>
              <w:left w:w="75" w:type="dxa"/>
              <w:bottom w:w="75" w:type="dxa"/>
              <w:right w:w="75" w:type="dxa"/>
            </w:tcMar>
            <w:shd w:val="clear" w:color="auto" w:fill="DCE6EF"/>
          </w:tcPr>
          <w:p>
            <w:pPr>
              <w:spacing w:after="40" w:before="40" w:line="245" w:lineRule="auto"/>
            </w:pPr>
            <w:r>
              <w:rPr>
                <w:rFonts w:ascii="Calibri" w:hAnsi="Calibri"/>
                <w:b/>
                <w:color w:val="000000"/>
                <w:sz w:val="18"/>
              </w:rPr>
              <w:t>Offener Abschluss</w:t>
            </w:r>
          </w:p>
        </w:tc>
      </w:tr>
      <w:tr>
        <w:trPr>
          <w:cantSplit/>
        </w:trPr>
        <w:tc>
          <w:tcPr>
            <w:tcW w:type="dxa" w:w="2608"/>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G01 / U04 / KO03/05</w:t>
              <w:br/>
              <w:t>Schnellerfassung und deutsche Chips</w:t>
            </w:r>
          </w:p>
        </w:tc>
        <w:tc>
          <w:tcPr>
            <w:tcW w:type="dxa" w:w="2211"/>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Umgesetzt</w:t>
              <w:br/>
              <w:t>Historisch</w:t>
            </w:r>
          </w:p>
        </w:tc>
        <w:tc>
          <w:tcPr>
            <w:tcW w:type="dxa" w:w="1191"/>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bis 3.45</w:t>
            </w:r>
          </w:p>
        </w:tc>
        <w:tc>
          <w:tcPr>
            <w:tcW w:type="dxa" w:w="3628"/>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Aktuelle native Bedienabnahme</w:t>
            </w:r>
          </w:p>
        </w:tc>
      </w:tr>
      <w:tr>
        <w:trPr>
          <w:cantSplit/>
        </w:trPr>
        <w:tc>
          <w:tcPr>
            <w:tcW w:type="dxa" w:w="2608"/>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G02 / AU01–07 / KO01/02/06</w:t>
              <w:br/>
              <w:t>Heute, Demnächst, Planung und Kapazität</w:t>
            </w:r>
          </w:p>
        </w:tc>
        <w:tc>
          <w:tcPr>
            <w:tcW w:type="dxa" w:w="2211"/>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Umgesetzt</w:t>
              <w:br/>
              <w:t>Historisch + E09</w:t>
            </w:r>
          </w:p>
        </w:tc>
        <w:tc>
          <w:tcPr>
            <w:tcW w:type="dxa" w:w="1191"/>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Kern bis 3.45</w:t>
            </w:r>
          </w:p>
        </w:tc>
        <w:tc>
          <w:tcPr>
            <w:tcW w:type="dxa" w:w="3628"/>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Neuere Tagesaktionen separat unten</w:t>
            </w:r>
          </w:p>
        </w:tc>
      </w:tr>
      <w:tr>
        <w:trPr>
          <w:cantSplit/>
        </w:trPr>
        <w:tc>
          <w:tcPr>
            <w:tcW w:type="dxa" w:w="2608"/>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G03/04 / N04 / AU04</w:t>
              <w:br/>
              <w:t>Tagesabschluss und Stundenraster</w:t>
            </w:r>
          </w:p>
        </w:tc>
        <w:tc>
          <w:tcPr>
            <w:tcW w:type="dxa" w:w="2211"/>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Umgesetzt</w:t>
              <w:br/>
              <w:t>Historisch</w:t>
            </w:r>
          </w:p>
        </w:tc>
        <w:tc>
          <w:tcPr>
            <w:tcW w:type="dxa" w:w="1191"/>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bis 3.45</w:t>
            </w:r>
          </w:p>
        </w:tc>
        <w:tc>
          <w:tcPr>
            <w:tcW w:type="dxa" w:w="3628"/>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Aktuelle native Bedienabnahme</w:t>
            </w:r>
          </w:p>
        </w:tc>
      </w:tr>
      <w:tr>
        <w:trPr>
          <w:cantSplit/>
        </w:trPr>
        <w:tc>
          <w:tcPr>
            <w:tcW w:type="dxa" w:w="2608"/>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G05 / H-02 / H-02r</w:t>
              <w:br/>
              <w:t>Fokus und Tastaturwege</w:t>
            </w:r>
          </w:p>
        </w:tc>
        <w:tc>
          <w:tcPr>
            <w:tcW w:type="dxa" w:w="2211"/>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Umgesetzt</w:t>
              <w:br/>
              <w:t>Historisch</w:t>
            </w:r>
          </w:p>
        </w:tc>
        <w:tc>
          <w:tcPr>
            <w:tcW w:type="dxa" w:w="1191"/>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bis 3.45</w:t>
            </w:r>
          </w:p>
        </w:tc>
        <w:tc>
          <w:tcPr>
            <w:tcW w:type="dxa" w:w="3628"/>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Reader/Tastatur; Zielhinweis erst nach Aktion</w:t>
            </w:r>
          </w:p>
        </w:tc>
      </w:tr>
      <w:tr>
        <w:trPr>
          <w:cantSplit/>
        </w:trPr>
        <w:tc>
          <w:tcPr>
            <w:tcW w:type="dxa" w:w="2608"/>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G29/31/32 / G08/30</w:t>
              <w:br/>
              <w:t>Aufgaben in Seiten und Objektverweise</w:t>
            </w:r>
          </w:p>
        </w:tc>
        <w:tc>
          <w:tcPr>
            <w:tcW w:type="dxa" w:w="2211"/>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Umgesetzt</w:t>
              <w:br/>
              <w:t>Historisch + E09</w:t>
            </w:r>
          </w:p>
        </w:tc>
        <w:tc>
          <w:tcPr>
            <w:tcW w:type="dxa" w:w="1191"/>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Kern bis 3.45</w:t>
            </w:r>
          </w:p>
        </w:tc>
        <w:tc>
          <w:tcPr>
            <w:tcW w:type="dxa" w:w="3628"/>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Neue Verweisaktionen separat unten</w:t>
            </w:r>
          </w:p>
        </w:tc>
      </w:tr>
      <w:tr>
        <w:trPr>
          <w:cantSplit/>
        </w:trPr>
        <w:tc>
          <w:tcPr>
            <w:tcW w:type="dxa" w:w="2608"/>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G28/G09/U08 / U18</w:t>
              <w:br/>
              <w:t>Seiten, Bilder, Live-Listen und Vorlagen</w:t>
            </w:r>
          </w:p>
        </w:tc>
        <w:tc>
          <w:tcPr>
            <w:tcW w:type="dxa" w:w="2211"/>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Umgesetzt</w:t>
              <w:br/>
              <w:t>Historisch</w:t>
            </w:r>
          </w:p>
        </w:tc>
        <w:tc>
          <w:tcPr>
            <w:tcW w:type="dxa" w:w="1191"/>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bis 3.45</w:t>
            </w:r>
          </w:p>
        </w:tc>
        <w:tc>
          <w:tcPr>
            <w:tcW w:type="dxa" w:w="3628"/>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Enge/lange Inhalte, native Bedienung</w:t>
            </w:r>
          </w:p>
        </w:tc>
      </w:tr>
      <w:tr>
        <w:trPr>
          <w:cantSplit/>
        </w:trPr>
        <w:tc>
          <w:tcPr>
            <w:tcW w:type="dxa" w:w="2608"/>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G11</w:t>
              <w:br/>
              <w:t>Vorlagen mit Datum und Platzhaltern</w:t>
            </w:r>
          </w:p>
        </w:tc>
        <w:tc>
          <w:tcPr>
            <w:tcW w:type="dxa" w:w="2211"/>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Umgesetzt</w:t>
              <w:br/>
              <w:t>Historisch</w:t>
            </w:r>
          </w:p>
        </w:tc>
        <w:tc>
          <w:tcPr>
            <w:tcW w:type="dxa" w:w="1191"/>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bis 3.45</w:t>
            </w:r>
          </w:p>
        </w:tc>
        <w:tc>
          <w:tcPr>
            <w:tcW w:type="dxa" w:w="3628"/>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Automatische Vorlagenwiederholung nicht gewählt</w:t>
            </w:r>
          </w:p>
        </w:tc>
      </w:tr>
      <w:tr>
        <w:trPr>
          <w:cantSplit/>
        </w:trPr>
        <w:tc>
          <w:tcPr>
            <w:tcW w:type="dxa" w:w="2608"/>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G14 / U01/03/07 / D-03</w:t>
              <w:br/>
              <w:t>Inhaltssuche, Palette, Filtererklärung</w:t>
            </w:r>
          </w:p>
        </w:tc>
        <w:tc>
          <w:tcPr>
            <w:tcW w:type="dxa" w:w="2211"/>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Umgesetzt</w:t>
              <w:br/>
              <w:t>Historisch</w:t>
            </w:r>
          </w:p>
        </w:tc>
        <w:tc>
          <w:tcPr>
            <w:tcW w:type="dxa" w:w="1191"/>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bis 3.45</w:t>
            </w:r>
          </w:p>
        </w:tc>
        <w:tc>
          <w:tcPr>
            <w:tcW w:type="dxa" w:w="3628"/>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Kein zusätzlicher Suchindex geschuldet</w:t>
            </w:r>
          </w:p>
        </w:tc>
      </w:tr>
    </w:tbl>
    <w:p>
      <w:pPr>
        <w:spacing w:after="40"/>
      </w:pPr>
    </w:p>
    <w:p>
      <w:r>
        <w:br w:type="page"/>
      </w:r>
    </w:p>
    <w:p>
      <w:pPr>
        <w:pStyle w:val="Heading1"/>
      </w:pPr>
      <w:r>
        <w:t>4 Historischer Funktionsbestand Teil 2</w:t>
      </w:r>
    </w:p>
    <w:p>
      <w:r>
        <w:rPr>
          <w:b w:val="0"/>
        </w:rPr>
        <w:t>Die freigegebenen Kernumfänge bleiben von späteren Erweiterungsvorschlägen getrennt. Historische Versionsangaben bezeichnen die Einführung oder eine belegte Lieferung, nicht einen neuen nativen Abschluss von 3.49.0.</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08"/>
        <w:gridCol w:w="2211"/>
        <w:gridCol w:w="1191"/>
        <w:gridCol w:w="3628"/>
      </w:tblGrid>
      <w:tr>
        <w:trPr>
          <w:tblHeader/>
          <w:cantSplit/>
        </w:trPr>
        <w:tc>
          <w:tcPr>
            <w:tcW w:type="dxa" w:w="2608"/>
            <w:vAlign w:val="center"/>
            <w:tcMar>
              <w:top w:w="75" w:type="dxa"/>
              <w:left w:w="75" w:type="dxa"/>
              <w:bottom w:w="75" w:type="dxa"/>
              <w:right w:w="75" w:type="dxa"/>
            </w:tcMar>
            <w:shd w:val="clear" w:color="auto" w:fill="DCE6EF"/>
          </w:tcPr>
          <w:p>
            <w:pPr>
              <w:spacing w:after="40" w:before="40" w:line="245" w:lineRule="auto"/>
            </w:pPr>
            <w:r>
              <w:rPr>
                <w:rFonts w:ascii="Calibri" w:hAnsi="Calibri"/>
                <w:b/>
                <w:color w:val="000000"/>
                <w:sz w:val="18"/>
              </w:rPr>
              <w:t>Kennung und Umfang</w:t>
            </w:r>
          </w:p>
        </w:tc>
        <w:tc>
          <w:tcPr>
            <w:tcW w:type="dxa" w:w="2211"/>
            <w:vAlign w:val="center"/>
            <w:tcMar>
              <w:top w:w="75" w:type="dxa"/>
              <w:left w:w="75" w:type="dxa"/>
              <w:bottom w:w="75" w:type="dxa"/>
              <w:right w:w="75" w:type="dxa"/>
            </w:tcMar>
            <w:shd w:val="clear" w:color="auto" w:fill="DCE6EF"/>
          </w:tcPr>
          <w:p>
            <w:pPr>
              <w:spacing w:after="40" w:before="40" w:line="245" w:lineRule="auto"/>
            </w:pPr>
            <w:r>
              <w:rPr>
                <w:rFonts w:ascii="Calibri" w:hAnsi="Calibri"/>
                <w:b/>
                <w:color w:val="000000"/>
                <w:sz w:val="18"/>
              </w:rPr>
              <w:t>Implementierung und Prüfung</w:t>
            </w:r>
          </w:p>
        </w:tc>
        <w:tc>
          <w:tcPr>
            <w:tcW w:type="dxa" w:w="1191"/>
            <w:vAlign w:val="center"/>
            <w:tcMar>
              <w:top w:w="75" w:type="dxa"/>
              <w:left w:w="75" w:type="dxa"/>
              <w:bottom w:w="75" w:type="dxa"/>
              <w:right w:w="75" w:type="dxa"/>
            </w:tcMar>
            <w:shd w:val="clear" w:color="auto" w:fill="DCE6EF"/>
          </w:tcPr>
          <w:p>
            <w:pPr>
              <w:spacing w:after="40" w:before="40" w:line="245" w:lineRule="auto"/>
            </w:pPr>
            <w:r>
              <w:rPr>
                <w:rFonts w:ascii="Calibri" w:hAnsi="Calibri"/>
                <w:b/>
                <w:color w:val="000000"/>
                <w:sz w:val="18"/>
              </w:rPr>
              <w:t>Lieferstand</w:t>
            </w:r>
          </w:p>
        </w:tc>
        <w:tc>
          <w:tcPr>
            <w:tcW w:type="dxa" w:w="3628"/>
            <w:vAlign w:val="center"/>
            <w:tcMar>
              <w:top w:w="75" w:type="dxa"/>
              <w:left w:w="75" w:type="dxa"/>
              <w:bottom w:w="75" w:type="dxa"/>
              <w:right w:w="75" w:type="dxa"/>
            </w:tcMar>
            <w:shd w:val="clear" w:color="auto" w:fill="DCE6EF"/>
          </w:tcPr>
          <w:p>
            <w:pPr>
              <w:spacing w:after="40" w:before="40" w:line="245" w:lineRule="auto"/>
            </w:pPr>
            <w:r>
              <w:rPr>
                <w:rFonts w:ascii="Calibri" w:hAnsi="Calibri"/>
                <w:b/>
                <w:color w:val="000000"/>
                <w:sz w:val="18"/>
              </w:rPr>
              <w:t>Offener Abschluss</w:t>
            </w:r>
          </w:p>
        </w:tc>
      </w:tr>
      <w:tr>
        <w:trPr>
          <w:cantSplit/>
        </w:trPr>
        <w:tc>
          <w:tcPr>
            <w:tcW w:type="dxa" w:w="2608"/>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N05 / U12 / KO04 / OB02–04</w:t>
              <w:br/>
              <w:t>Gemeinsamer Aufgabeninspektor</w:t>
            </w:r>
          </w:p>
        </w:tc>
        <w:tc>
          <w:tcPr>
            <w:tcW w:type="dxa" w:w="2211"/>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Umgesetzt</w:t>
              <w:br/>
              <w:t>Historisch</w:t>
            </w:r>
          </w:p>
        </w:tc>
        <w:tc>
          <w:tcPr>
            <w:tcW w:type="dxa" w:w="1191"/>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bis 3.45</w:t>
            </w:r>
          </w:p>
        </w:tc>
        <w:tc>
          <w:tcPr>
            <w:tcW w:type="dxa" w:w="3628"/>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DPI/Mehrmonitor und native Bedienung</w:t>
            </w:r>
          </w:p>
        </w:tc>
      </w:tr>
      <w:tr>
        <w:trPr>
          <w:cantSplit/>
        </w:trPr>
        <w:tc>
          <w:tcPr>
            <w:tcW w:type="dxa" w:w="2608"/>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UX1 / U02–24 / OB01/05/06</w:t>
              <w:br/>
              <w:t>Alltagskomfort und ruhige Oberfläche</w:t>
            </w:r>
          </w:p>
        </w:tc>
        <w:tc>
          <w:tcPr>
            <w:tcW w:type="dxa" w:w="2211"/>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Umgesetzt</w:t>
              <w:br/>
              <w:t>Historisch</w:t>
            </w:r>
          </w:p>
        </w:tc>
        <w:tc>
          <w:tcPr>
            <w:tcW w:type="dxa" w:w="1191"/>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bis 3.45</w:t>
            </w:r>
          </w:p>
        </w:tc>
        <w:tc>
          <w:tcPr>
            <w:tcW w:type="dxa" w:w="3628"/>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OB06/native Sicht; fortlaufende Designübertragung</w:t>
            </w:r>
          </w:p>
        </w:tc>
      </w:tr>
      <w:tr>
        <w:trPr>
          <w:cantSplit/>
        </w:trPr>
        <w:tc>
          <w:tcPr>
            <w:tcW w:type="dxa" w:w="2608"/>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G16/19/20</w:t>
              <w:br/>
              <w:t>Pixelwerkstatt, Paletten und Symbolexport</w:t>
            </w:r>
          </w:p>
        </w:tc>
        <w:tc>
          <w:tcPr>
            <w:tcW w:type="dxa" w:w="2211"/>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Umgesetzt</w:t>
              <w:br/>
              <w:t>Historisch</w:t>
            </w:r>
          </w:p>
        </w:tc>
        <w:tc>
          <w:tcPr>
            <w:tcW w:type="dxa" w:w="1191"/>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bis 3.45</w:t>
            </w:r>
          </w:p>
        </w:tc>
        <w:tc>
          <w:tcPr>
            <w:tcW w:type="dxa" w:w="3628"/>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Native Sicht/Nischeneignung</w:t>
            </w:r>
          </w:p>
        </w:tc>
      </w:tr>
      <w:tr>
        <w:trPr>
          <w:cantSplit/>
        </w:trPr>
        <w:tc>
          <w:tcPr>
            <w:tcW w:type="dxa" w:w="2608"/>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G17 / D18 / S26-08</w:t>
              <w:br/>
              <w:t>Animation mit Frames und PNG-Ausgabe</w:t>
            </w:r>
          </w:p>
        </w:tc>
        <w:tc>
          <w:tcPr>
            <w:tcW w:type="dxa" w:w="2211"/>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Umgesetzt</w:t>
              <w:br/>
              <w:t>Historisch</w:t>
            </w:r>
          </w:p>
        </w:tc>
        <w:tc>
          <w:tcPr>
            <w:tcW w:type="dxa" w:w="1191"/>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ab 3.40</w:t>
            </w:r>
          </w:p>
        </w:tc>
        <w:tc>
          <w:tcPr>
            <w:tcW w:type="dxa" w:w="3628"/>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GIF/Zwiebelhaut waren nicht gewählt</w:t>
            </w:r>
          </w:p>
        </w:tc>
      </w:tr>
      <w:tr>
        <w:trPr>
          <w:cantSplit/>
        </w:trPr>
        <w:tc>
          <w:tcPr>
            <w:tcW w:type="dxa" w:w="2608"/>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G24 / F-01/03</w:t>
              <w:br/>
              <w:t>KI-Austausch und Sicherungsvergleich</w:t>
            </w:r>
          </w:p>
        </w:tc>
        <w:tc>
          <w:tcPr>
            <w:tcW w:type="dxa" w:w="2211"/>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Umgesetzt</w:t>
              <w:br/>
              <w:t>Historisch</w:t>
            </w:r>
          </w:p>
        </w:tc>
        <w:tc>
          <w:tcPr>
            <w:tcW w:type="dxa" w:w="1191"/>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bis 3.45</w:t>
            </w:r>
          </w:p>
        </w:tc>
        <w:tc>
          <w:tcPr>
            <w:tcW w:type="dxa" w:w="3628"/>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Realer externer Dateirundlauf</w:t>
            </w:r>
          </w:p>
        </w:tc>
      </w:tr>
      <w:tr>
        <w:trPr>
          <w:cantSplit/>
        </w:trPr>
        <w:tc>
          <w:tcPr>
            <w:tcW w:type="dxa" w:w="2608"/>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G21 / V02 / N13</w:t>
              <w:br/>
              <w:t>Notion-Import, Konflikte und Seitenrestore</w:t>
            </w:r>
          </w:p>
        </w:tc>
        <w:tc>
          <w:tcPr>
            <w:tcW w:type="dxa" w:w="2211"/>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Umgesetzt</w:t>
              <w:br/>
              <w:t>Historisch</w:t>
            </w:r>
          </w:p>
        </w:tc>
        <w:tc>
          <w:tcPr>
            <w:tcW w:type="dxa" w:w="1191"/>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ab 3.41</w:t>
            </w:r>
          </w:p>
        </w:tc>
        <w:tc>
          <w:tcPr>
            <w:tcW w:type="dxa" w:w="3628"/>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Reale Importe/Restore, Plattformen</w:t>
            </w:r>
          </w:p>
        </w:tc>
      </w:tr>
      <w:tr>
        <w:trPr>
          <w:cantSplit/>
        </w:trPr>
        <w:tc>
          <w:tcPr>
            <w:tcW w:type="dxa" w:w="2608"/>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G26 / H-03 / N11 / S26-10</w:t>
              <w:br/>
              <w:t>Eigenständige Pakete und Bauweg</w:t>
            </w:r>
          </w:p>
        </w:tc>
        <w:tc>
          <w:tcPr>
            <w:tcW w:type="dxa" w:w="2211"/>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Umgesetzt</w:t>
              <w:br/>
              <w:t>Archive E05 gleich</w:t>
            </w:r>
          </w:p>
        </w:tc>
        <w:tc>
          <w:tcPr>
            <w:tcW w:type="dxa" w:w="1191"/>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native 3.45</w:t>
            </w:r>
          </w:p>
        </w:tc>
        <w:tc>
          <w:tcPr>
            <w:tcW w:type="dxa" w:w="3628"/>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Aktueller 3.49-Stand noch nicht paketiert</w:t>
            </w:r>
          </w:p>
        </w:tc>
      </w:tr>
      <w:tr>
        <w:trPr>
          <w:cantSplit/>
        </w:trPr>
        <w:tc>
          <w:tcPr>
            <w:tcW w:type="dxa" w:w="2608"/>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LG01–04 / D45 / S26-11/12/22</w:t>
              <w:br/>
              <w:t>Logo, Symbolrollen und Tk-Rückfall</w:t>
            </w:r>
          </w:p>
        </w:tc>
        <w:tc>
          <w:tcPr>
            <w:tcW w:type="dxa" w:w="2211"/>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Umgesetzt</w:t>
              <w:br/>
              <w:t>Historisch</w:t>
            </w:r>
          </w:p>
        </w:tc>
        <w:tc>
          <w:tcPr>
            <w:tcW w:type="dxa" w:w="1191"/>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ab 3.37</w:t>
            </w:r>
          </w:p>
        </w:tc>
        <w:tc>
          <w:tcPr>
            <w:tcW w:type="dxa" w:w="3628"/>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Logoentwurf freigegeben; keine appweite DPI-Freigabe</w:t>
            </w:r>
          </w:p>
        </w:tc>
      </w:tr>
    </w:tbl>
    <w:p>
      <w:pPr>
        <w:spacing w:after="40"/>
      </w:pPr>
    </w:p>
    <w:p>
      <w:r>
        <w:br w:type="page"/>
      </w:r>
    </w:p>
    <w:p>
      <w:pPr>
        <w:pStyle w:val="Heading1"/>
      </w:pPr>
      <w:r>
        <w:t>5 Featurepakete FP 00 bis FP 07</w:t>
      </w:r>
    </w:p>
    <w:p>
      <w:r>
        <w:rPr>
          <w:b w:val="0"/>
        </w:rPr>
        <w:t>FP-01 bis FP-06 sowie die gewählte erste Stufe von FP-07 sind implementiert. Frühere offene Kernstufen von FP-02/03 sind durch die späteren Umsetzungen überholt. FP-01 ist aktuell wegen des roten Pflichtfalls nicht vollständig abnahmegeprüft.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08"/>
        <w:gridCol w:w="2211"/>
        <w:gridCol w:w="1191"/>
        <w:gridCol w:w="3628"/>
      </w:tblGrid>
      <w:tr>
        <w:trPr>
          <w:tblHeader/>
          <w:cantSplit/>
        </w:trPr>
        <w:tc>
          <w:tcPr>
            <w:tcW w:type="dxa" w:w="2608"/>
            <w:vAlign w:val="center"/>
            <w:tcMar>
              <w:top w:w="75" w:type="dxa"/>
              <w:left w:w="75" w:type="dxa"/>
              <w:bottom w:w="75" w:type="dxa"/>
              <w:right w:w="75" w:type="dxa"/>
            </w:tcMar>
            <w:shd w:val="clear" w:color="auto" w:fill="DCE6EF"/>
          </w:tcPr>
          <w:p>
            <w:pPr>
              <w:spacing w:after="40" w:before="40" w:line="245" w:lineRule="auto"/>
            </w:pPr>
            <w:r>
              <w:rPr>
                <w:rFonts w:ascii="Calibri" w:hAnsi="Calibri"/>
                <w:b/>
                <w:color w:val="000000"/>
                <w:sz w:val="18"/>
              </w:rPr>
              <w:t>Kennung und Umfang</w:t>
            </w:r>
          </w:p>
        </w:tc>
        <w:tc>
          <w:tcPr>
            <w:tcW w:type="dxa" w:w="2211"/>
            <w:vAlign w:val="center"/>
            <w:tcMar>
              <w:top w:w="75" w:type="dxa"/>
              <w:left w:w="75" w:type="dxa"/>
              <w:bottom w:w="75" w:type="dxa"/>
              <w:right w:w="75" w:type="dxa"/>
            </w:tcMar>
            <w:shd w:val="clear" w:color="auto" w:fill="DCE6EF"/>
          </w:tcPr>
          <w:p>
            <w:pPr>
              <w:spacing w:after="40" w:before="40" w:line="245" w:lineRule="auto"/>
            </w:pPr>
            <w:r>
              <w:rPr>
                <w:rFonts w:ascii="Calibri" w:hAnsi="Calibri"/>
                <w:b/>
                <w:color w:val="000000"/>
                <w:sz w:val="18"/>
              </w:rPr>
              <w:t>Implementierung und Prüfung</w:t>
            </w:r>
          </w:p>
        </w:tc>
        <w:tc>
          <w:tcPr>
            <w:tcW w:type="dxa" w:w="1191"/>
            <w:vAlign w:val="center"/>
            <w:tcMar>
              <w:top w:w="75" w:type="dxa"/>
              <w:left w:w="75" w:type="dxa"/>
              <w:bottom w:w="75" w:type="dxa"/>
              <w:right w:w="75" w:type="dxa"/>
            </w:tcMar>
            <w:shd w:val="clear" w:color="auto" w:fill="DCE6EF"/>
          </w:tcPr>
          <w:p>
            <w:pPr>
              <w:spacing w:after="40" w:before="40" w:line="245" w:lineRule="auto"/>
            </w:pPr>
            <w:r>
              <w:rPr>
                <w:rFonts w:ascii="Calibri" w:hAnsi="Calibri"/>
                <w:b/>
                <w:color w:val="000000"/>
                <w:sz w:val="18"/>
              </w:rPr>
              <w:t>Lieferstand</w:t>
            </w:r>
          </w:p>
        </w:tc>
        <w:tc>
          <w:tcPr>
            <w:tcW w:type="dxa" w:w="3628"/>
            <w:vAlign w:val="center"/>
            <w:tcMar>
              <w:top w:w="75" w:type="dxa"/>
              <w:left w:w="75" w:type="dxa"/>
              <w:bottom w:w="75" w:type="dxa"/>
              <w:right w:w="75" w:type="dxa"/>
            </w:tcMar>
            <w:shd w:val="clear" w:color="auto" w:fill="DCE6EF"/>
          </w:tcPr>
          <w:p>
            <w:pPr>
              <w:spacing w:after="40" w:before="40" w:line="245" w:lineRule="auto"/>
            </w:pPr>
            <w:r>
              <w:rPr>
                <w:rFonts w:ascii="Calibri" w:hAnsi="Calibri"/>
                <w:b/>
                <w:color w:val="000000"/>
                <w:sz w:val="18"/>
              </w:rPr>
              <w:t>Offener Abschluss</w:t>
            </w:r>
          </w:p>
        </w:tc>
      </w:tr>
      <w:tr>
        <w:trPr>
          <w:cantSplit/>
        </w:trPr>
        <w:tc>
          <w:tcPr>
            <w:tcW w:type="dxa" w:w="2608"/>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FP-00 / WA-17/18</w:t>
              <w:br/>
              <w:t>Wiederholungseingabe und Kalenderparser</w:t>
            </w:r>
          </w:p>
        </w:tc>
        <w:tc>
          <w:tcPr>
            <w:tcW w:type="dxa" w:w="2211"/>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Umgesetzt</w:t>
              <w:br/>
              <w:t>Historisch + E06 Units</w:t>
            </w:r>
          </w:p>
        </w:tc>
        <w:tc>
          <w:tcPr>
            <w:tcW w:type="dxa" w:w="1191"/>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ab 3.39.1</w:t>
            </w:r>
          </w:p>
        </w:tc>
        <w:tc>
          <w:tcPr>
            <w:tcW w:type="dxa" w:w="3628"/>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Keine offene Erstimplementierung</w:t>
            </w:r>
          </w:p>
        </w:tc>
      </w:tr>
      <w:tr>
        <w:trPr>
          <w:cantSplit/>
        </w:trPr>
        <w:tc>
          <w:tcPr>
            <w:tcW w:type="dxa" w:w="2608"/>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FP-01 / WA-01</w:t>
              <w:br/>
              <w:t>Wiederholen nach Rückgängig</w:t>
            </w:r>
          </w:p>
        </w:tc>
        <w:tc>
          <w:tcPr>
            <w:tcW w:type="dxa" w:w="2211"/>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Umgesetzt</w:t>
              <w:br/>
              <w:t>ROT: 8/9</w:t>
            </w:r>
          </w:p>
        </w:tc>
        <w:tc>
          <w:tcPr>
            <w:tcW w:type="dxa" w:w="1191"/>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ab 3.44</w:t>
            </w:r>
          </w:p>
        </w:tc>
        <w:tc>
          <w:tcPr>
            <w:tcW w:type="dxa" w:w="3628"/>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Prüfadapter/Sitzungsabschluss korrigieren; Suite neu bestehen</w:t>
            </w:r>
          </w:p>
        </w:tc>
      </w:tr>
      <w:tr>
        <w:trPr>
          <w:cantSplit/>
        </w:trPr>
        <w:tc>
          <w:tcPr>
            <w:tcW w:type="dxa" w:w="2608"/>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FP-02 / WA-02</w:t>
              <w:br/>
              <w:t>Erweiterte Rhythmen, beide Stufen</w:t>
            </w:r>
          </w:p>
        </w:tc>
        <w:tc>
          <w:tcPr>
            <w:tcW w:type="dxa" w:w="2211"/>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Umgesetzt</w:t>
              <w:br/>
              <w:t>Historisch; frisch nicht gestartet</w:t>
            </w:r>
          </w:p>
        </w:tc>
        <w:tc>
          <w:tcPr>
            <w:tcW w:type="dxa" w:w="1191"/>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ab 3.44</w:t>
            </w:r>
          </w:p>
        </w:tc>
        <w:tc>
          <w:tcPr>
            <w:tcW w:type="dxa" w:w="3628"/>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Native Bedienung/Kalenderaustausch</w:t>
            </w:r>
          </w:p>
        </w:tc>
      </w:tr>
      <w:tr>
        <w:trPr>
          <w:cantSplit/>
        </w:trPr>
        <w:tc>
          <w:tcPr>
            <w:tcW w:type="dxa" w:w="2608"/>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FP-03 / WA-03</w:t>
              <w:br/>
              <w:t>Gespeicherte Filter und Darstellungen</w:t>
            </w:r>
          </w:p>
        </w:tc>
        <w:tc>
          <w:tcPr>
            <w:tcW w:type="dxa" w:w="2211"/>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Umgesetzt</w:t>
              <w:br/>
              <w:t>Historisch; frisch nicht gestartet</w:t>
            </w:r>
          </w:p>
        </w:tc>
        <w:tc>
          <w:tcPr>
            <w:tcW w:type="dxa" w:w="1191"/>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ab 3.44</w:t>
            </w:r>
          </w:p>
        </w:tc>
        <w:tc>
          <w:tcPr>
            <w:tcW w:type="dxa" w:w="3628"/>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Keine offenen Kernstufen; native Abnahme</w:t>
            </w:r>
          </w:p>
        </w:tc>
      </w:tr>
      <w:tr>
        <w:trPr>
          <w:cantSplit/>
        </w:trPr>
        <w:tc>
          <w:tcPr>
            <w:tcW w:type="dxa" w:w="2608"/>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FP-04 / WA-04</w:t>
              <w:br/>
              <w:t>Seiten-/Notizkarten auf Pinnwänden</w:t>
            </w:r>
          </w:p>
        </w:tc>
        <w:tc>
          <w:tcPr>
            <w:tcW w:type="dxa" w:w="2211"/>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Umgesetzt</w:t>
              <w:br/>
              <w:t>Historisch; frisch nicht gestartet</w:t>
            </w:r>
          </w:p>
        </w:tc>
        <w:tc>
          <w:tcPr>
            <w:tcW w:type="dxa" w:w="1191"/>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ab 3.44</w:t>
            </w:r>
          </w:p>
        </w:tc>
        <w:tc>
          <w:tcPr>
            <w:tcW w:type="dxa" w:w="3628"/>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Namespace erfüllt; allgemeines WA-09 bleibt separat</w:t>
            </w:r>
          </w:p>
        </w:tc>
      </w:tr>
      <w:tr>
        <w:trPr>
          <w:cantSplit/>
        </w:trPr>
        <w:tc>
          <w:tcPr>
            <w:tcW w:type="dxa" w:w="2608"/>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FP-05 / WA-05</w:t>
              <w:br/>
              <w:t>Unverknüpfte Titelerwähnungen</w:t>
            </w:r>
          </w:p>
        </w:tc>
        <w:tc>
          <w:tcPr>
            <w:tcW w:type="dxa" w:w="2211"/>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Umgesetzt</w:t>
              <w:br/>
              <w:t>Historisch; frisch nicht gestartet</w:t>
            </w:r>
          </w:p>
        </w:tc>
        <w:tc>
          <w:tcPr>
            <w:tcW w:type="dxa" w:w="1191"/>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ab 3.44</w:t>
            </w:r>
          </w:p>
        </w:tc>
        <w:tc>
          <w:tcPr>
            <w:tcW w:type="dxa" w:w="3628"/>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Keine semantische KI-Verknüpfung geschuldet</w:t>
            </w:r>
          </w:p>
        </w:tc>
      </w:tr>
      <w:tr>
        <w:trPr>
          <w:cantSplit/>
        </w:trPr>
        <w:tc>
          <w:tcPr>
            <w:tcW w:type="dxa" w:w="2608"/>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FP-06 / WA-06</w:t>
              <w:br/>
              <w:t>Fünf KI-Dateiaufträge und volle Vorschau</w:t>
            </w:r>
          </w:p>
        </w:tc>
        <w:tc>
          <w:tcPr>
            <w:tcW w:type="dxa" w:w="2211"/>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Umgesetzt</w:t>
              <w:br/>
              <w:t>Historisch; frisch nicht gestartet</w:t>
            </w:r>
          </w:p>
        </w:tc>
        <w:tc>
          <w:tcPr>
            <w:tcW w:type="dxa" w:w="1191"/>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ab 3.44, später ergänzt</w:t>
            </w:r>
          </w:p>
        </w:tc>
        <w:tc>
          <w:tcPr>
            <w:tcW w:type="dxa" w:w="3628"/>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Provider/Netzendpunkt nicht gewählt</w:t>
            </w:r>
          </w:p>
        </w:tc>
      </w:tr>
      <w:tr>
        <w:trPr>
          <w:cantSplit/>
        </w:trPr>
        <w:tc>
          <w:tcPr>
            <w:tcW w:type="dxa" w:w="2608"/>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FP-07 / WA-07 Stufe 1</w:t>
              <w:br/>
              <w:t>Lesbarer Markdownbaum mit Medien</w:t>
            </w:r>
          </w:p>
        </w:tc>
        <w:tc>
          <w:tcPr>
            <w:tcW w:type="dxa" w:w="2211"/>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Umgesetzt</w:t>
              <w:br/>
              <w:t>Historisch; frisch nicht gestartet</w:t>
            </w:r>
          </w:p>
        </w:tc>
        <w:tc>
          <w:tcPr>
            <w:tcW w:type="dxa" w:w="1191"/>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ab 3.44</w:t>
            </w:r>
          </w:p>
        </w:tc>
        <w:tc>
          <w:tcPr>
            <w:tcW w:type="dxa" w:w="3628"/>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Canvas Stufe 2 optional; kein Wiederimportversprechen</w:t>
            </w:r>
          </w:p>
        </w:tc>
      </w:tr>
    </w:tbl>
    <w:p>
      <w:pPr>
        <w:spacing w:after="40"/>
      </w:pPr>
    </w:p>
    <w:p>
      <w:r>
        <w:br w:type="page"/>
      </w:r>
    </w:p>
    <w:p>
      <w:pPr>
        <w:pStyle w:val="Heading1"/>
      </w:pPr>
      <w:r>
        <w:t>6 Arbeitsmodi und frühere Funktionsfortsetzungen</w:t>
      </w:r>
    </w:p>
    <w:p>
      <w:r>
        <w:rPr>
          <w:b w:val="0"/>
        </w:rPr>
        <w:t>D55 wählte Kompaktmodus, lesende Nebenansicht und Seiten-/Blockbedienung. Unter Windows sind vier begrenzte D55-Bedienpunkte vom 25.10.2026 dokumentiert bestätigt; das ersetzt keine globale oder plattformübergreifende Freigabe.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08"/>
        <w:gridCol w:w="2211"/>
        <w:gridCol w:w="1191"/>
        <w:gridCol w:w="3628"/>
      </w:tblGrid>
      <w:tr>
        <w:trPr>
          <w:tblHeader/>
          <w:cantSplit/>
        </w:trPr>
        <w:tc>
          <w:tcPr>
            <w:tcW w:type="dxa" w:w="2608"/>
            <w:vAlign w:val="center"/>
            <w:tcMar>
              <w:top w:w="75" w:type="dxa"/>
              <w:left w:w="75" w:type="dxa"/>
              <w:bottom w:w="75" w:type="dxa"/>
              <w:right w:w="75" w:type="dxa"/>
            </w:tcMar>
            <w:shd w:val="clear" w:color="auto" w:fill="DCE6EF"/>
          </w:tcPr>
          <w:p>
            <w:pPr>
              <w:spacing w:after="40" w:before="40" w:line="245" w:lineRule="auto"/>
            </w:pPr>
            <w:r>
              <w:rPr>
                <w:rFonts w:ascii="Calibri" w:hAnsi="Calibri"/>
                <w:b/>
                <w:color w:val="000000"/>
                <w:sz w:val="18"/>
              </w:rPr>
              <w:t>Kennung und Umfang</w:t>
            </w:r>
          </w:p>
        </w:tc>
        <w:tc>
          <w:tcPr>
            <w:tcW w:type="dxa" w:w="2211"/>
            <w:vAlign w:val="center"/>
            <w:tcMar>
              <w:top w:w="75" w:type="dxa"/>
              <w:left w:w="75" w:type="dxa"/>
              <w:bottom w:w="75" w:type="dxa"/>
              <w:right w:w="75" w:type="dxa"/>
            </w:tcMar>
            <w:shd w:val="clear" w:color="auto" w:fill="DCE6EF"/>
          </w:tcPr>
          <w:p>
            <w:pPr>
              <w:spacing w:after="40" w:before="40" w:line="245" w:lineRule="auto"/>
            </w:pPr>
            <w:r>
              <w:rPr>
                <w:rFonts w:ascii="Calibri" w:hAnsi="Calibri"/>
                <w:b/>
                <w:color w:val="000000"/>
                <w:sz w:val="18"/>
              </w:rPr>
              <w:t>Implementierung und Prüfung</w:t>
            </w:r>
          </w:p>
        </w:tc>
        <w:tc>
          <w:tcPr>
            <w:tcW w:type="dxa" w:w="1191"/>
            <w:vAlign w:val="center"/>
            <w:tcMar>
              <w:top w:w="75" w:type="dxa"/>
              <w:left w:w="75" w:type="dxa"/>
              <w:bottom w:w="75" w:type="dxa"/>
              <w:right w:w="75" w:type="dxa"/>
            </w:tcMar>
            <w:shd w:val="clear" w:color="auto" w:fill="DCE6EF"/>
          </w:tcPr>
          <w:p>
            <w:pPr>
              <w:spacing w:after="40" w:before="40" w:line="245" w:lineRule="auto"/>
            </w:pPr>
            <w:r>
              <w:rPr>
                <w:rFonts w:ascii="Calibri" w:hAnsi="Calibri"/>
                <w:b/>
                <w:color w:val="000000"/>
                <w:sz w:val="18"/>
              </w:rPr>
              <w:t>Lieferstand</w:t>
            </w:r>
          </w:p>
        </w:tc>
        <w:tc>
          <w:tcPr>
            <w:tcW w:type="dxa" w:w="3628"/>
            <w:vAlign w:val="center"/>
            <w:tcMar>
              <w:top w:w="75" w:type="dxa"/>
              <w:left w:w="75" w:type="dxa"/>
              <w:bottom w:w="75" w:type="dxa"/>
              <w:right w:w="75" w:type="dxa"/>
            </w:tcMar>
            <w:shd w:val="clear" w:color="auto" w:fill="DCE6EF"/>
          </w:tcPr>
          <w:p>
            <w:pPr>
              <w:spacing w:after="40" w:before="40" w:line="245" w:lineRule="auto"/>
            </w:pPr>
            <w:r>
              <w:rPr>
                <w:rFonts w:ascii="Calibri" w:hAnsi="Calibri"/>
                <w:b/>
                <w:color w:val="000000"/>
                <w:sz w:val="18"/>
              </w:rPr>
              <w:t>Offener Abschluss</w:t>
            </w:r>
          </w:p>
        </w:tc>
      </w:tr>
      <w:tr>
        <w:trPr>
          <w:cantSplit/>
        </w:trPr>
        <w:tc>
          <w:tcPr>
            <w:tcW w:type="dxa" w:w="2608"/>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A01 / E-U1 A / D55</w:t>
              <w:br/>
              <w:t>Kompaktmodus 480 × 560</w:t>
            </w:r>
          </w:p>
        </w:tc>
        <w:tc>
          <w:tcPr>
            <w:tcW w:type="dxa" w:w="2211"/>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Umgesetzt</w:t>
              <w:br/>
              <w:t>Historisch + E09</w:t>
            </w:r>
          </w:p>
        </w:tc>
        <w:tc>
          <w:tcPr>
            <w:tcW w:type="dxa" w:w="1191"/>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Kern ab 3.45</w:t>
            </w:r>
          </w:p>
        </w:tc>
        <w:tc>
          <w:tcPr>
            <w:tcW w:type="dxa" w:w="3628"/>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Windows Kürzel/Mehrmonitor und Mac/Reader offen</w:t>
            </w:r>
          </w:p>
        </w:tc>
      </w:tr>
      <w:tr>
        <w:trPr>
          <w:cantSplit/>
        </w:trPr>
        <w:tc>
          <w:tcPr>
            <w:tcW w:type="dxa" w:w="2608"/>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A02 / E-U2 A / D55</w:t>
              <w:br/>
              <w:t>Lesende Nebenansicht</w:t>
            </w:r>
          </w:p>
        </w:tc>
        <w:tc>
          <w:tcPr>
            <w:tcW w:type="dxa" w:w="2211"/>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Umgesetzt</w:t>
              <w:br/>
              <w:t>Historisch + E09</w:t>
            </w:r>
          </w:p>
        </w:tc>
        <w:tc>
          <w:tcPr>
            <w:tcW w:type="dxa" w:w="1191"/>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Kern ab 3.45</w:t>
            </w:r>
          </w:p>
        </w:tc>
        <w:tc>
          <w:tcPr>
            <w:tcW w:type="dxa" w:w="3628"/>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Zwei schreibende Editoren sind kein Rest</w:t>
            </w:r>
          </w:p>
        </w:tc>
      </w:tr>
      <w:tr>
        <w:trPr>
          <w:cantSplit/>
        </w:trPr>
        <w:tc>
          <w:tcPr>
            <w:tcW w:type="dxa" w:w="2608"/>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A03 / E-U3 A / D55</w:t>
              <w:br/>
              <w:t>Seiten-/Blockaktionen und Kopfbedienung</w:t>
            </w:r>
          </w:p>
        </w:tc>
        <w:tc>
          <w:tcPr>
            <w:tcW w:type="dxa" w:w="2211"/>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Umgesetzt</w:t>
              <w:br/>
              <w:t>Historisch</w:t>
            </w:r>
          </w:p>
        </w:tc>
        <w:tc>
          <w:tcPr>
            <w:tcW w:type="dxa" w:w="1191"/>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Kern ab 3.45</w:t>
            </w:r>
          </w:p>
        </w:tc>
        <w:tc>
          <w:tcPr>
            <w:tcW w:type="dxa" w:w="3628"/>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Windows Teilabnahme Punkte 1–4, große Schrift/Mac offen</w:t>
            </w:r>
          </w:p>
        </w:tc>
      </w:tr>
      <w:tr>
        <w:trPr>
          <w:cantSplit/>
        </w:trPr>
        <w:tc>
          <w:tcPr>
            <w:tcW w:type="dxa" w:w="2608"/>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B01–B22 / D50</w:t>
              <w:br/>
              <w:t>UI-/UX-Paket aus Nutzerbeobachtungen</w:t>
            </w:r>
          </w:p>
        </w:tc>
        <w:tc>
          <w:tcPr>
            <w:tcW w:type="dxa" w:w="2211"/>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Umgesetzt</w:t>
              <w:br/>
              <w:t>Historisch; Einzelmatrix im Anhang</w:t>
            </w:r>
          </w:p>
        </w:tc>
        <w:tc>
          <w:tcPr>
            <w:tcW w:type="dxa" w:w="1191"/>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Kern ab 3.43</w:t>
            </w:r>
          </w:p>
        </w:tc>
        <w:tc>
          <w:tcPr>
            <w:tcW w:type="dxa" w:w="3628"/>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Menschliche Gesamtfreigabe nicht dokumentiert</w:t>
            </w:r>
          </w:p>
        </w:tc>
      </w:tr>
      <w:tr>
        <w:trPr>
          <w:cantSplit/>
        </w:trPr>
        <w:tc>
          <w:tcPr>
            <w:tcW w:type="dxa" w:w="2608"/>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WA-11 / §21.17</w:t>
              <w:br/>
              <w:t>Verweisvorschau ohne Hauptwechsel</w:t>
            </w:r>
          </w:p>
        </w:tc>
        <w:tc>
          <w:tcPr>
            <w:tcW w:type="dxa" w:w="2211"/>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Umgesetzt</w:t>
              <w:br/>
              <w:t>Historisch + E09</w:t>
            </w:r>
          </w:p>
        </w:tc>
        <w:tc>
          <w:tcPr>
            <w:tcW w:type="dxa" w:w="1191"/>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ab 3.45</w:t>
            </w:r>
          </w:p>
        </w:tc>
        <w:tc>
          <w:tcPr>
            <w:tcW w:type="dxa" w:w="3628"/>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Native Fokus-/Readerabnahme</w:t>
            </w:r>
          </w:p>
        </w:tc>
      </w:tr>
      <w:tr>
        <w:trPr>
          <w:cantSplit/>
        </w:trPr>
        <w:tc>
          <w:tcPr>
            <w:tcW w:type="dxa" w:w="2608"/>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WA-12 / §21.16</w:t>
              <w:br/>
              <w:t>Vorschlag mit direkten Freigaben</w:t>
            </w:r>
          </w:p>
        </w:tc>
        <w:tc>
          <w:tcPr>
            <w:tcW w:type="dxa" w:w="2211"/>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Umgesetzt</w:t>
              <w:br/>
              <w:t>Historisch</w:t>
            </w:r>
          </w:p>
        </w:tc>
        <w:tc>
          <w:tcPr>
            <w:tcW w:type="dxa" w:w="1191"/>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ab 3.45 laut §21.20</w:t>
            </w:r>
          </w:p>
        </w:tc>
        <w:tc>
          <w:tcPr>
            <w:tcW w:type="dxa" w:w="3628"/>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Menschenabnahme; ältere Lieferzeile widersprüchlich</w:t>
            </w:r>
          </w:p>
        </w:tc>
      </w:tr>
    </w:tbl>
    <w:p>
      <w:pPr>
        <w:spacing w:after="40"/>
      </w:pPr>
    </w:p>
    <w:p>
      <w:r>
        <w:br w:type="page"/>
      </w:r>
    </w:p>
    <w:p>
      <w:pPr>
        <w:pStyle w:val="Heading1"/>
      </w:pPr>
      <w:r>
        <w:t>7 Tagessteuerung und jüngste Dreierpakete</w:t>
      </w:r>
    </w:p>
    <w:p>
      <w:r>
        <w:rPr>
          <w:b w:val="0"/>
        </w:rPr>
        <w:t>Der gezielte Funktionsnachweis vom 28.10.2026 besitzt denselben Apphash wie die jetzt eingefrorene Quelle. Er belegt die dort genannten Bedienfälle einschließlich Wochenwahl, Fälligkeit/Aufwand und Verweisaktionen. Er ersetzt keine vollständige neue 105-Suiten-/Native-Matrix.</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08"/>
        <w:gridCol w:w="2211"/>
        <w:gridCol w:w="1191"/>
        <w:gridCol w:w="3628"/>
      </w:tblGrid>
      <w:tr>
        <w:trPr>
          <w:tblHeader/>
          <w:cantSplit/>
        </w:trPr>
        <w:tc>
          <w:tcPr>
            <w:tcW w:type="dxa" w:w="2608"/>
            <w:vAlign w:val="center"/>
            <w:tcMar>
              <w:top w:w="75" w:type="dxa"/>
              <w:left w:w="75" w:type="dxa"/>
              <w:bottom w:w="75" w:type="dxa"/>
              <w:right w:w="75" w:type="dxa"/>
            </w:tcMar>
            <w:shd w:val="clear" w:color="auto" w:fill="DCE6EF"/>
          </w:tcPr>
          <w:p>
            <w:pPr>
              <w:spacing w:after="40" w:before="40" w:line="245" w:lineRule="auto"/>
            </w:pPr>
            <w:r>
              <w:rPr>
                <w:rFonts w:ascii="Calibri" w:hAnsi="Calibri"/>
                <w:b/>
                <w:color w:val="000000"/>
                <w:sz w:val="18"/>
              </w:rPr>
              <w:t>Kennung und Umfang</w:t>
            </w:r>
          </w:p>
        </w:tc>
        <w:tc>
          <w:tcPr>
            <w:tcW w:type="dxa" w:w="2211"/>
            <w:vAlign w:val="center"/>
            <w:tcMar>
              <w:top w:w="75" w:type="dxa"/>
              <w:left w:w="75" w:type="dxa"/>
              <w:bottom w:w="75" w:type="dxa"/>
              <w:right w:w="75" w:type="dxa"/>
            </w:tcMar>
            <w:shd w:val="clear" w:color="auto" w:fill="DCE6EF"/>
          </w:tcPr>
          <w:p>
            <w:pPr>
              <w:spacing w:after="40" w:before="40" w:line="245" w:lineRule="auto"/>
            </w:pPr>
            <w:r>
              <w:rPr>
                <w:rFonts w:ascii="Calibri" w:hAnsi="Calibri"/>
                <w:b/>
                <w:color w:val="000000"/>
                <w:sz w:val="18"/>
              </w:rPr>
              <w:t>Implementierung und Prüfung</w:t>
            </w:r>
          </w:p>
        </w:tc>
        <w:tc>
          <w:tcPr>
            <w:tcW w:type="dxa" w:w="1191"/>
            <w:vAlign w:val="center"/>
            <w:tcMar>
              <w:top w:w="75" w:type="dxa"/>
              <w:left w:w="75" w:type="dxa"/>
              <w:bottom w:w="75" w:type="dxa"/>
              <w:right w:w="75" w:type="dxa"/>
            </w:tcMar>
            <w:shd w:val="clear" w:color="auto" w:fill="DCE6EF"/>
          </w:tcPr>
          <w:p>
            <w:pPr>
              <w:spacing w:after="40" w:before="40" w:line="245" w:lineRule="auto"/>
            </w:pPr>
            <w:r>
              <w:rPr>
                <w:rFonts w:ascii="Calibri" w:hAnsi="Calibri"/>
                <w:b/>
                <w:color w:val="000000"/>
                <w:sz w:val="18"/>
              </w:rPr>
              <w:t>Lieferstand</w:t>
            </w:r>
          </w:p>
        </w:tc>
        <w:tc>
          <w:tcPr>
            <w:tcW w:type="dxa" w:w="3628"/>
            <w:vAlign w:val="center"/>
            <w:tcMar>
              <w:top w:w="75" w:type="dxa"/>
              <w:left w:w="75" w:type="dxa"/>
              <w:bottom w:w="75" w:type="dxa"/>
              <w:right w:w="75" w:type="dxa"/>
            </w:tcMar>
            <w:shd w:val="clear" w:color="auto" w:fill="DCE6EF"/>
          </w:tcPr>
          <w:p>
            <w:pPr>
              <w:spacing w:after="40" w:before="40" w:line="245" w:lineRule="auto"/>
            </w:pPr>
            <w:r>
              <w:rPr>
                <w:rFonts w:ascii="Calibri" w:hAnsi="Calibri"/>
                <w:b/>
                <w:color w:val="000000"/>
                <w:sz w:val="18"/>
              </w:rPr>
              <w:t>Offener Abschluss</w:t>
            </w:r>
          </w:p>
        </w:tc>
      </w:tr>
      <w:tr>
        <w:trPr>
          <w:cantSplit/>
        </w:trPr>
        <w:tc>
          <w:tcPr>
            <w:tcW w:type="dxa" w:w="2608"/>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§21.19/22 / WA-39</w:t>
              <w:br/>
              <w:t>Startseitenmodell und direktes Erledigen</w:t>
            </w:r>
          </w:p>
        </w:tc>
        <w:tc>
          <w:tcPr>
            <w:tcW w:type="dxa" w:w="2211"/>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Umgesetzt</w:t>
              <w:br/>
              <w:t>Historisch + E09</w:t>
            </w:r>
          </w:p>
        </w:tc>
        <w:tc>
          <w:tcPr>
            <w:tcW w:type="dxa" w:w="1191"/>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Basis 3.45; Aktionen später</w:t>
            </w:r>
          </w:p>
        </w:tc>
        <w:tc>
          <w:tcPr>
            <w:tcW w:type="dxa" w:w="3628"/>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Quelle/Lieferung auseinanderhalten</w:t>
            </w:r>
          </w:p>
        </w:tc>
      </w:tr>
      <w:tr>
        <w:trPr>
          <w:cantSplit/>
        </w:trPr>
        <w:tc>
          <w:tcPr>
            <w:tcW w:type="dxa" w:w="2608"/>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§21.23 / D57</w:t>
              <w:br/>
              <w:t>Direkte Tagesplanung und Fokus</w:t>
            </w:r>
          </w:p>
        </w:tc>
        <w:tc>
          <w:tcPr>
            <w:tcW w:type="dxa" w:w="2211"/>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Umgesetzt</w:t>
              <w:br/>
              <w:t>E09 gleicher Apphash</w:t>
            </w:r>
          </w:p>
        </w:tc>
        <w:tc>
          <w:tcPr>
            <w:tcW w:type="dxa" w:w="1191"/>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Python ab 3.46</w:t>
            </w:r>
          </w:p>
        </w:tc>
        <w:tc>
          <w:tcPr>
            <w:tcW w:type="dxa" w:w="3628"/>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Keine native aktuelle Paketabnahme</w:t>
            </w:r>
          </w:p>
        </w:tc>
      </w:tr>
      <w:tr>
        <w:trPr>
          <w:cantSplit/>
        </w:trPr>
        <w:tc>
          <w:tcPr>
            <w:tcW w:type="dxa" w:w="2608"/>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§21.23 / D57</w:t>
              <w:br/>
              <w:t>Suche und Abschnittssprünge nebenan</w:t>
            </w:r>
          </w:p>
        </w:tc>
        <w:tc>
          <w:tcPr>
            <w:tcW w:type="dxa" w:w="2211"/>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Umgesetzt</w:t>
              <w:br/>
              <w:t>E09 gleicher Apphash</w:t>
            </w:r>
          </w:p>
        </w:tc>
        <w:tc>
          <w:tcPr>
            <w:tcW w:type="dxa" w:w="1191"/>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Python ab 3.46</w:t>
            </w:r>
          </w:p>
        </w:tc>
        <w:tc>
          <w:tcPr>
            <w:tcW w:type="dxa" w:w="3628"/>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Native/Reader-/DPI-Abnahme</w:t>
            </w:r>
          </w:p>
        </w:tc>
      </w:tr>
      <w:tr>
        <w:trPr>
          <w:cantSplit/>
        </w:trPr>
        <w:tc>
          <w:tcPr>
            <w:tcW w:type="dxa" w:w="2608"/>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§21.24 / D57</w:t>
              <w:br/>
              <w:t>Mehrfachplanung und Nebenansichtsverlauf</w:t>
            </w:r>
          </w:p>
        </w:tc>
        <w:tc>
          <w:tcPr>
            <w:tcW w:type="dxa" w:w="2211"/>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Umgesetzt</w:t>
              <w:br/>
              <w:t>E09 gleicher Apphash</w:t>
            </w:r>
          </w:p>
        </w:tc>
        <w:tc>
          <w:tcPr>
            <w:tcW w:type="dxa" w:w="1191"/>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Python ab 3.47</w:t>
            </w:r>
          </w:p>
        </w:tc>
        <w:tc>
          <w:tcPr>
            <w:tcW w:type="dxa" w:w="3628"/>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Native/Reader-/DPI-Abnahme</w:t>
            </w:r>
          </w:p>
        </w:tc>
      </w:tr>
      <w:tr>
        <w:trPr>
          <w:cantSplit/>
        </w:trPr>
        <w:tc>
          <w:tcPr>
            <w:tcW w:type="dxa" w:w="2608"/>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§21.26 / D57</w:t>
              <w:br/>
              <w:t>Tagesnavigation, Wichtigkeit/Labels, interne Links</w:t>
            </w:r>
          </w:p>
        </w:tc>
        <w:tc>
          <w:tcPr>
            <w:tcW w:type="dxa" w:w="2211"/>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Umgesetzt</w:t>
              <w:br/>
              <w:t>E09 gleicher Apphash</w:t>
            </w:r>
          </w:p>
        </w:tc>
        <w:tc>
          <w:tcPr>
            <w:tcW w:type="dxa" w:w="1191"/>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nur Quelle ab 3.48</w:t>
            </w:r>
          </w:p>
        </w:tc>
        <w:tc>
          <w:tcPr>
            <w:tcW w:type="dxa" w:w="3628"/>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Lieferung und breite Abnahme fehlen</w:t>
            </w:r>
          </w:p>
        </w:tc>
      </w:tr>
      <w:tr>
        <w:trPr>
          <w:cantSplit/>
        </w:trPr>
        <w:tc>
          <w:tcPr>
            <w:tcW w:type="dxa" w:w="2608"/>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§21.28 / D57</w:t>
              <w:br/>
              <w:t>Wochenwahl, Fälligkeit/Aufwand, Verweisaktionen</w:t>
            </w:r>
          </w:p>
        </w:tc>
        <w:tc>
          <w:tcPr>
            <w:tcW w:type="dxa" w:w="2211"/>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Umgesetzt</w:t>
              <w:br/>
              <w:t>E09 gleicher Apphash</w:t>
            </w:r>
          </w:p>
        </w:tc>
        <w:tc>
          <w:tcPr>
            <w:tcW w:type="dxa" w:w="1191"/>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nur Quelle 3.49</w:t>
            </w:r>
          </w:p>
        </w:tc>
        <w:tc>
          <w:tcPr>
            <w:tcW w:type="dxa" w:w="3628"/>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Lieferung und breite Abnahme fehlen</w:t>
            </w:r>
          </w:p>
        </w:tc>
      </w:tr>
    </w:tbl>
    <w:p>
      <w:pPr>
        <w:spacing w:after="40"/>
      </w:pPr>
    </w:p>
    <w:p>
      <w:r>
        <w:br w:type="page"/>
      </w:r>
    </w:p>
    <w:p>
      <w:pPr>
        <w:pStyle w:val="Heading1"/>
      </w:pPr>
      <w:r>
        <w:t>8 Schutzfunktionen und technische Pakete</w:t>
      </w:r>
    </w:p>
    <w:p>
      <w:r>
        <w:rPr>
          <w:b w:val="0"/>
        </w:rPr>
        <w:t>Die begrenzten Schutzimplementierungen sind vorhanden. Insbesondere Wiederanlauf und Diagnose sind keine Reparatur der ungeklärten WA-41-Ursachen. Die neu festgestellte Prüferinkompatibilität muss in der formalen Abnahmekette beseitigt werden.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08"/>
        <w:gridCol w:w="2211"/>
        <w:gridCol w:w="1191"/>
        <w:gridCol w:w="3628"/>
      </w:tblGrid>
      <w:tr>
        <w:trPr>
          <w:tblHeader/>
          <w:cantSplit/>
        </w:trPr>
        <w:tc>
          <w:tcPr>
            <w:tcW w:type="dxa" w:w="2608"/>
            <w:vAlign w:val="center"/>
            <w:tcMar>
              <w:top w:w="75" w:type="dxa"/>
              <w:left w:w="75" w:type="dxa"/>
              <w:bottom w:w="75" w:type="dxa"/>
              <w:right w:w="75" w:type="dxa"/>
            </w:tcMar>
            <w:shd w:val="clear" w:color="auto" w:fill="DCE6EF"/>
          </w:tcPr>
          <w:p>
            <w:pPr>
              <w:spacing w:after="40" w:before="40" w:line="245" w:lineRule="auto"/>
            </w:pPr>
            <w:r>
              <w:rPr>
                <w:rFonts w:ascii="Calibri" w:hAnsi="Calibri"/>
                <w:b/>
                <w:color w:val="000000"/>
                <w:sz w:val="18"/>
              </w:rPr>
              <w:t>Kennung und Umfang</w:t>
            </w:r>
          </w:p>
        </w:tc>
        <w:tc>
          <w:tcPr>
            <w:tcW w:type="dxa" w:w="2211"/>
            <w:vAlign w:val="center"/>
            <w:tcMar>
              <w:top w:w="75" w:type="dxa"/>
              <w:left w:w="75" w:type="dxa"/>
              <w:bottom w:w="75" w:type="dxa"/>
              <w:right w:w="75" w:type="dxa"/>
            </w:tcMar>
            <w:shd w:val="clear" w:color="auto" w:fill="DCE6EF"/>
          </w:tcPr>
          <w:p>
            <w:pPr>
              <w:spacing w:after="40" w:before="40" w:line="245" w:lineRule="auto"/>
            </w:pPr>
            <w:r>
              <w:rPr>
                <w:rFonts w:ascii="Calibri" w:hAnsi="Calibri"/>
                <w:b/>
                <w:color w:val="000000"/>
                <w:sz w:val="18"/>
              </w:rPr>
              <w:t>Implementierung und Prüfung</w:t>
            </w:r>
          </w:p>
        </w:tc>
        <w:tc>
          <w:tcPr>
            <w:tcW w:type="dxa" w:w="1191"/>
            <w:vAlign w:val="center"/>
            <w:tcMar>
              <w:top w:w="75" w:type="dxa"/>
              <w:left w:w="75" w:type="dxa"/>
              <w:bottom w:w="75" w:type="dxa"/>
              <w:right w:w="75" w:type="dxa"/>
            </w:tcMar>
            <w:shd w:val="clear" w:color="auto" w:fill="DCE6EF"/>
          </w:tcPr>
          <w:p>
            <w:pPr>
              <w:spacing w:after="40" w:before="40" w:line="245" w:lineRule="auto"/>
            </w:pPr>
            <w:r>
              <w:rPr>
                <w:rFonts w:ascii="Calibri" w:hAnsi="Calibri"/>
                <w:b/>
                <w:color w:val="000000"/>
                <w:sz w:val="18"/>
              </w:rPr>
              <w:t>Lieferstand</w:t>
            </w:r>
          </w:p>
        </w:tc>
        <w:tc>
          <w:tcPr>
            <w:tcW w:type="dxa" w:w="3628"/>
            <w:vAlign w:val="center"/>
            <w:tcMar>
              <w:top w:w="75" w:type="dxa"/>
              <w:left w:w="75" w:type="dxa"/>
              <w:bottom w:w="75" w:type="dxa"/>
              <w:right w:w="75" w:type="dxa"/>
            </w:tcMar>
            <w:shd w:val="clear" w:color="auto" w:fill="DCE6EF"/>
          </w:tcPr>
          <w:p>
            <w:pPr>
              <w:spacing w:after="40" w:before="40" w:line="245" w:lineRule="auto"/>
            </w:pPr>
            <w:r>
              <w:rPr>
                <w:rFonts w:ascii="Calibri" w:hAnsi="Calibri"/>
                <w:b/>
                <w:color w:val="000000"/>
                <w:sz w:val="18"/>
              </w:rPr>
              <w:t>Offener Abschluss</w:t>
            </w:r>
          </w:p>
        </w:tc>
      </w:tr>
      <w:tr>
        <w:trPr>
          <w:cantSplit/>
        </w:trPr>
        <w:tc>
          <w:tcPr>
            <w:tcW w:type="dxa" w:w="2608"/>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WA-26</w:t>
              <w:br/>
              <w:t>Gemeinsame Bildkonversion im Hintergrund</w:t>
            </w:r>
          </w:p>
        </w:tc>
        <w:tc>
          <w:tcPr>
            <w:tcW w:type="dxa" w:w="2211"/>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Umgesetzt</w:t>
              <w:br/>
              <w:t>Historisch + E06 Units</w:t>
            </w:r>
          </w:p>
        </w:tc>
        <w:tc>
          <w:tcPr>
            <w:tcW w:type="dxa" w:w="1191"/>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ab 3.44</w:t>
            </w:r>
          </w:p>
        </w:tc>
        <w:tc>
          <w:tcPr>
            <w:tcW w:type="dxa" w:w="3628"/>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Native Konverter/Sicht</w:t>
            </w:r>
          </w:p>
        </w:tc>
      </w:tr>
      <w:tr>
        <w:trPr>
          <w:cantSplit/>
        </w:trPr>
        <w:tc>
          <w:tcPr>
            <w:tcW w:type="dxa" w:w="2608"/>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WA-27–31</w:t>
              <w:br/>
              <w:t>Bestandswächter, Laden, Flush und Datensperre</w:t>
            </w:r>
          </w:p>
        </w:tc>
        <w:tc>
          <w:tcPr>
            <w:tcW w:type="dxa" w:w="2211"/>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Umgesetzt</w:t>
              <w:br/>
              <w:t>Historisch + E06 Units</w:t>
            </w:r>
          </w:p>
        </w:tc>
        <w:tc>
          <w:tcPr>
            <w:tcW w:type="dxa" w:w="1191"/>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ab 3.44</w:t>
            </w:r>
          </w:p>
        </w:tc>
        <w:tc>
          <w:tcPr>
            <w:tcW w:type="dxa" w:w="3628"/>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Native/Cloud-Abgleich getrennt</w:t>
            </w:r>
          </w:p>
        </w:tc>
      </w:tr>
      <w:tr>
        <w:trPr>
          <w:cantSplit/>
        </w:trPr>
        <w:tc>
          <w:tcPr>
            <w:tcW w:type="dxa" w:w="2608"/>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WA-40/47</w:t>
              <w:br/>
              <w:t>Speicherstatus, Grenzen und Retry</w:t>
            </w:r>
          </w:p>
        </w:tc>
        <w:tc>
          <w:tcPr>
            <w:tcW w:type="dxa" w:w="2211"/>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Umgesetzt</w:t>
              <w:br/>
              <w:t>E10; frisch nicht gestartet</w:t>
            </w:r>
          </w:p>
        </w:tc>
        <w:tc>
          <w:tcPr>
            <w:tcW w:type="dxa" w:w="1191"/>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Basis ab 3.45</w:t>
            </w:r>
          </w:p>
        </w:tc>
        <w:tc>
          <w:tcPr>
            <w:tcW w:type="dxa" w:w="3628"/>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Appweite Fehlerklassifikation separat offen</w:t>
            </w:r>
          </w:p>
        </w:tc>
      </w:tr>
      <w:tr>
        <w:trPr>
          <w:cantSplit/>
        </w:trPr>
        <w:tc>
          <w:tcPr>
            <w:tcW w:type="dxa" w:w="2608"/>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WA-48/51 / §21.15</w:t>
              <w:br/>
              <w:t>Sicherungsübersicht und Anhangsschutz</w:t>
            </w:r>
          </w:p>
        </w:tc>
        <w:tc>
          <w:tcPr>
            <w:tcW w:type="dxa" w:w="2211"/>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Umgesetzt</w:t>
              <w:br/>
              <w:t>Historisch + E06 Units</w:t>
            </w:r>
          </w:p>
        </w:tc>
        <w:tc>
          <w:tcPr>
            <w:tcW w:type="dxa" w:w="1191"/>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ab 3.45</w:t>
            </w:r>
          </w:p>
        </w:tc>
        <w:tc>
          <w:tcPr>
            <w:tcW w:type="dxa" w:w="3628"/>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Native Warnungen/Mac offen</w:t>
            </w:r>
          </w:p>
        </w:tc>
      </w:tr>
      <w:tr>
        <w:trPr>
          <w:cantSplit/>
        </w:trPr>
        <w:tc>
          <w:tcPr>
            <w:tcW w:type="dxa" w:w="2608"/>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§21.27 / WA-42</w:t>
              <w:br/>
              <w:t>Gesicherte Prüfabläufe</w:t>
            </w:r>
          </w:p>
        </w:tc>
        <w:tc>
          <w:tcPr>
            <w:tcW w:type="dxa" w:w="2211"/>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Umgesetzt</w:t>
              <w:br/>
              <w:t>E06 Werkzeugtests</w:t>
            </w:r>
          </w:p>
        </w:tc>
        <w:tc>
          <w:tcPr>
            <w:tcW w:type="dxa" w:w="1191"/>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nur Quelle 3.49</w:t>
            </w:r>
          </w:p>
        </w:tc>
        <w:tc>
          <w:tcPr>
            <w:tcW w:type="dxa" w:w="3628"/>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Kein allgemeiner Stabilitätsnachweis</w:t>
            </w:r>
          </w:p>
        </w:tc>
      </w:tr>
      <w:tr>
        <w:trPr>
          <w:cantSplit/>
        </w:trPr>
        <w:tc>
          <w:tcPr>
            <w:tcW w:type="dxa" w:w="2608"/>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§21.27 / WA-40/41B</w:t>
              <w:br/>
              <w:t>Sitzungsnachweis, Freigabe und Restore</w:t>
            </w:r>
          </w:p>
        </w:tc>
        <w:tc>
          <w:tcPr>
            <w:tcW w:type="dxa" w:w="2211"/>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Umgesetzt</w:t>
              <w:br/>
              <w:t>E10; aktueller Prüferkonflikt E08</w:t>
            </w:r>
          </w:p>
        </w:tc>
        <w:tc>
          <w:tcPr>
            <w:tcW w:type="dxa" w:w="1191"/>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nur Quelle 3.49</w:t>
            </w:r>
          </w:p>
        </w:tc>
        <w:tc>
          <w:tcPr>
            <w:tcW w:type="dxa" w:w="3628"/>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Rückweg gezielt geprüft; kein WA-41B-Ursachenfix</w:t>
            </w:r>
          </w:p>
        </w:tc>
      </w:tr>
      <w:tr>
        <w:trPr>
          <w:cantSplit/>
        </w:trPr>
        <w:tc>
          <w:tcPr>
            <w:tcW w:type="dxa" w:w="2608"/>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§21.27 / WA-41A/40</w:t>
              <w:br/>
              <w:t>Lokale Diagnose und Prozessbegleitung</w:t>
            </w:r>
          </w:p>
        </w:tc>
        <w:tc>
          <w:tcPr>
            <w:tcW w:type="dxa" w:w="2211"/>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Umgesetzt</w:t>
              <w:br/>
              <w:t>E06 Units / E10</w:t>
            </w:r>
          </w:p>
        </w:tc>
        <w:tc>
          <w:tcPr>
            <w:tcW w:type="dxa" w:w="1191"/>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nur Quelle 3.49</w:t>
            </w:r>
          </w:p>
        </w:tc>
        <w:tc>
          <w:tcPr>
            <w:tcW w:type="dxa" w:w="3628"/>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Native Builds/Startvarianten aktuell abnehmen</w:t>
            </w:r>
          </w:p>
        </w:tc>
      </w:tr>
    </w:tbl>
    <w:p>
      <w:pPr>
        <w:spacing w:after="40"/>
      </w:pPr>
    </w:p>
    <w:p>
      <w:r>
        <w:br w:type="page"/>
      </w:r>
    </w:p>
    <w:p>
      <w:pPr>
        <w:pStyle w:val="Heading1"/>
      </w:pPr>
      <w:r>
        <w:t>9 Tatsächlich begonnene Restarbeiten</w:t>
      </w:r>
    </w:p>
    <w:p>
      <w:r>
        <w:rPr>
          <w:b w:val="0"/>
        </w:rPr>
        <w:t>Diese Einheiten dürfen nicht pauschal als abgeschlossen geführt werden. Teilweise erfüllte technische Verträge und Piloten sind von deren appweitem Ziel getrennt. Aufwand und Reihenfolge bleiben im bestehenden Entwicklungsplan; dieser Bericht schafft keinen zweiten Backlog.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08"/>
        <w:gridCol w:w="2211"/>
        <w:gridCol w:w="1191"/>
        <w:gridCol w:w="3628"/>
      </w:tblGrid>
      <w:tr>
        <w:trPr>
          <w:tblHeader/>
          <w:cantSplit/>
        </w:trPr>
        <w:tc>
          <w:tcPr>
            <w:tcW w:type="dxa" w:w="2608"/>
            <w:vAlign w:val="center"/>
            <w:tcMar>
              <w:top w:w="75" w:type="dxa"/>
              <w:left w:w="75" w:type="dxa"/>
              <w:bottom w:w="75" w:type="dxa"/>
              <w:right w:w="75" w:type="dxa"/>
            </w:tcMar>
            <w:shd w:val="clear" w:color="auto" w:fill="DCE6EF"/>
          </w:tcPr>
          <w:p>
            <w:pPr>
              <w:spacing w:after="40" w:before="40" w:line="245" w:lineRule="auto"/>
            </w:pPr>
            <w:r>
              <w:rPr>
                <w:rFonts w:ascii="Calibri" w:hAnsi="Calibri"/>
                <w:b/>
                <w:color w:val="000000"/>
                <w:sz w:val="18"/>
              </w:rPr>
              <w:t>Kennung und Umfang</w:t>
            </w:r>
          </w:p>
        </w:tc>
        <w:tc>
          <w:tcPr>
            <w:tcW w:type="dxa" w:w="2211"/>
            <w:vAlign w:val="center"/>
            <w:tcMar>
              <w:top w:w="75" w:type="dxa"/>
              <w:left w:w="75" w:type="dxa"/>
              <w:bottom w:w="75" w:type="dxa"/>
              <w:right w:w="75" w:type="dxa"/>
            </w:tcMar>
            <w:shd w:val="clear" w:color="auto" w:fill="DCE6EF"/>
          </w:tcPr>
          <w:p>
            <w:pPr>
              <w:spacing w:after="40" w:before="40" w:line="245" w:lineRule="auto"/>
            </w:pPr>
            <w:r>
              <w:rPr>
                <w:rFonts w:ascii="Calibri" w:hAnsi="Calibri"/>
                <w:b/>
                <w:color w:val="000000"/>
                <w:sz w:val="18"/>
              </w:rPr>
              <w:t>Implementierung und Prüfung</w:t>
            </w:r>
          </w:p>
        </w:tc>
        <w:tc>
          <w:tcPr>
            <w:tcW w:type="dxa" w:w="1191"/>
            <w:vAlign w:val="center"/>
            <w:tcMar>
              <w:top w:w="75" w:type="dxa"/>
              <w:left w:w="75" w:type="dxa"/>
              <w:bottom w:w="75" w:type="dxa"/>
              <w:right w:w="75" w:type="dxa"/>
            </w:tcMar>
            <w:shd w:val="clear" w:color="auto" w:fill="DCE6EF"/>
          </w:tcPr>
          <w:p>
            <w:pPr>
              <w:spacing w:after="40" w:before="40" w:line="245" w:lineRule="auto"/>
            </w:pPr>
            <w:r>
              <w:rPr>
                <w:rFonts w:ascii="Calibri" w:hAnsi="Calibri"/>
                <w:b/>
                <w:color w:val="000000"/>
                <w:sz w:val="18"/>
              </w:rPr>
              <w:t>Lieferstand</w:t>
            </w:r>
          </w:p>
        </w:tc>
        <w:tc>
          <w:tcPr>
            <w:tcW w:type="dxa" w:w="3628"/>
            <w:vAlign w:val="center"/>
            <w:tcMar>
              <w:top w:w="75" w:type="dxa"/>
              <w:left w:w="75" w:type="dxa"/>
              <w:bottom w:w="75" w:type="dxa"/>
              <w:right w:w="75" w:type="dxa"/>
            </w:tcMar>
            <w:shd w:val="clear" w:color="auto" w:fill="DCE6EF"/>
          </w:tcPr>
          <w:p>
            <w:pPr>
              <w:spacing w:after="40" w:before="40" w:line="245" w:lineRule="auto"/>
            </w:pPr>
            <w:r>
              <w:rPr>
                <w:rFonts w:ascii="Calibri" w:hAnsi="Calibri"/>
                <w:b/>
                <w:color w:val="000000"/>
                <w:sz w:val="18"/>
              </w:rPr>
              <w:t>Offener Abschluss</w:t>
            </w:r>
          </w:p>
        </w:tc>
      </w:tr>
      <w:tr>
        <w:trPr>
          <w:cantSplit/>
        </w:trPr>
        <w:tc>
          <w:tcPr>
            <w:tcW w:type="dxa" w:w="2608"/>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P8 / N12 / U23 / S26-16</w:t>
              <w:br/>
              <w:t>Zugänglicher Aufgaben-Kernablauf für 4.0</w:t>
            </w:r>
          </w:p>
        </w:tc>
        <w:tc>
          <w:tcPr>
            <w:tcW w:type="dxa" w:w="2211"/>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Pausiert</w:t>
              <w:br/>
              <w:t>Vorbereitung/Einzelbelege</w:t>
            </w:r>
          </w:p>
        </w:tc>
        <w:tc>
          <w:tcPr>
            <w:tcW w:type="dxa" w:w="1191"/>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keine 4.0-Lieferung</w:t>
            </w:r>
          </w:p>
        </w:tc>
        <w:tc>
          <w:tcPr>
            <w:tcW w:type="dxa" w:w="3628"/>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Readerketten, Orca-Absturz, aktuelle UI, native Matrix; D50 pausiert</w:t>
            </w:r>
          </w:p>
        </w:tc>
      </w:tr>
      <w:tr>
        <w:trPr>
          <w:cantSplit/>
        </w:trPr>
        <w:tc>
          <w:tcPr>
            <w:tcW w:type="dxa" w:w="2608"/>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WA-09 / A27</w:t>
              <w:br/>
              <w:t>Allgemeine Zukunftsfeldtoleranz</w:t>
            </w:r>
          </w:p>
        </w:tc>
        <w:tc>
          <w:tcPr>
            <w:tcW w:type="dxa" w:w="2211"/>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Teilweise</w:t>
              <w:br/>
              <w:t>Namespaces gezielt geprüft</w:t>
            </w:r>
          </w:p>
        </w:tc>
        <w:tc>
          <w:tcPr>
            <w:tcW w:type="dxa" w:w="1191"/>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teilweise</w:t>
            </w:r>
          </w:p>
        </w:tc>
        <w:tc>
          <w:tcPr>
            <w:tcW w:type="dxa" w:w="3628"/>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Unbekannte Unterfelder nicht allgemein erhalten</w:t>
            </w:r>
          </w:p>
        </w:tc>
      </w:tr>
      <w:tr>
        <w:trPr>
          <w:cantSplit/>
        </w:trPr>
        <w:tc>
          <w:tcPr>
            <w:tcW w:type="dxa" w:w="2608"/>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P05 / G27 / WA-32</w:t>
              <w:br/>
              <w:t>Wartbarkeit und appweite Designübertragung</w:t>
            </w:r>
          </w:p>
        </w:tc>
        <w:tc>
          <w:tcPr>
            <w:tcW w:type="dxa" w:w="2211"/>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Teilweise</w:t>
              <w:br/>
              <w:t>Piloten/Einzelansichten</w:t>
            </w:r>
          </w:p>
        </w:tc>
        <w:tc>
          <w:tcPr>
            <w:tcW w:type="dxa" w:w="1191"/>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teilweise</w:t>
            </w:r>
          </w:p>
        </w:tc>
        <w:tc>
          <w:tcPr>
            <w:tcW w:type="dxa" w:w="3628"/>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Appweite Kontext-/Komponentenabdeckung offen</w:t>
            </w:r>
          </w:p>
        </w:tc>
      </w:tr>
      <w:tr>
        <w:trPr>
          <w:cantSplit/>
        </w:trPr>
        <w:tc>
          <w:tcPr>
            <w:tcW w:type="dxa" w:w="2608"/>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WA-36</w:t>
              <w:br/>
              <w:t>Mutations-, Snapshot- und Refreshkosten</w:t>
            </w:r>
          </w:p>
        </w:tc>
        <w:tc>
          <w:tcPr>
            <w:tcW w:type="dxa" w:w="2211"/>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Teilweise</w:t>
              <w:br/>
              <w:t>Datierte Messungen</w:t>
            </w:r>
          </w:p>
        </w:tc>
        <w:tc>
          <w:tcPr>
            <w:tcW w:type="dxa" w:w="1191"/>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teilweise</w:t>
            </w:r>
          </w:p>
        </w:tc>
        <w:tc>
          <w:tcPr>
            <w:tcW w:type="dxa" w:w="3628"/>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Übrige Render-/Snapshotwege und native Leistung</w:t>
            </w:r>
          </w:p>
        </w:tc>
      </w:tr>
      <w:tr>
        <w:trPr>
          <w:cantSplit/>
        </w:trPr>
        <w:tc>
          <w:tcPr>
            <w:tcW w:type="dxa" w:w="2608"/>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WA-37/38</w:t>
              <w:br/>
              <w:t>Mutationsvertrag und Speicherergebnis</w:t>
            </w:r>
          </w:p>
        </w:tc>
        <w:tc>
          <w:tcPr>
            <w:tcW w:type="dxa" w:w="2211"/>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Teilweise</w:t>
              <w:br/>
              <w:t>Kern-/Callerfälle</w:t>
            </w:r>
          </w:p>
        </w:tc>
        <w:tc>
          <w:tcPr>
            <w:tcW w:type="dxa" w:w="1191"/>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teilweise</w:t>
            </w:r>
          </w:p>
        </w:tc>
        <w:tc>
          <w:tcPr>
            <w:tcW w:type="dxa" w:w="3628"/>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Übrige direkte Struktur-/Importcaller</w:t>
            </w:r>
          </w:p>
        </w:tc>
      </w:tr>
      <w:tr>
        <w:trPr>
          <w:cantSplit/>
        </w:trPr>
        <w:tc>
          <w:tcPr>
            <w:tcW w:type="dxa" w:w="2608"/>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WA-39</w:t>
              <w:br/>
              <w:t>Ansichts-/Dialog-/Themeauslagerung</w:t>
            </w:r>
          </w:p>
        </w:tc>
        <w:tc>
          <w:tcPr>
            <w:tcW w:type="dxa" w:w="2211"/>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Teilweise</w:t>
              <w:br/>
              <w:t>Startseitenpilot</w:t>
            </w:r>
          </w:p>
        </w:tc>
        <w:tc>
          <w:tcPr>
            <w:tcW w:type="dxa" w:w="1191"/>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teilweise</w:t>
            </w:r>
          </w:p>
        </w:tc>
        <w:tc>
          <w:tcPr>
            <w:tcW w:type="dxa" w:w="3628"/>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Weitere Presenter/Settings/Detail/Theme nur schrittweise</w:t>
            </w:r>
          </w:p>
        </w:tc>
      </w:tr>
      <w:tr>
        <w:trPr>
          <w:cantSplit/>
        </w:trPr>
        <w:tc>
          <w:tcPr>
            <w:tcW w:type="dxa" w:w="2608"/>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WA-40</w:t>
              <w:br/>
              <w:t>Fehlerbehandlung nach Wirkung appweit</w:t>
            </w:r>
          </w:p>
        </w:tc>
        <w:tc>
          <w:tcPr>
            <w:tcW w:type="dxa" w:w="2211"/>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Teilweise</w:t>
              <w:br/>
              <w:t>Kritische Speicherpfade</w:t>
            </w:r>
          </w:p>
        </w:tc>
        <w:tc>
          <w:tcPr>
            <w:tcW w:type="dxa" w:w="1191"/>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teilweise</w:t>
            </w:r>
          </w:p>
        </w:tc>
        <w:tc>
          <w:tcPr>
            <w:tcW w:type="dxa" w:w="3628"/>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Übrige OS-/UI-/Teardownhandler systematisch prüfen</w:t>
            </w:r>
          </w:p>
        </w:tc>
      </w:tr>
      <w:tr>
        <w:trPr>
          <w:cantSplit/>
        </w:trPr>
        <w:tc>
          <w:tcPr>
            <w:tcW w:type="dxa" w:w="2608"/>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WA-41A/B</w:t>
              <w:br/>
              <w:t>Prozessstabilität und Datenkonsistenz</w:t>
            </w:r>
          </w:p>
        </w:tc>
        <w:tc>
          <w:tcPr>
            <w:tcW w:type="dxa" w:w="2211"/>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Teilweise</w:t>
              <w:br/>
              <w:t>Widersprüchliche Lastbefunde</w:t>
            </w:r>
          </w:p>
        </w:tc>
        <w:tc>
          <w:tcPr>
            <w:tcW w:type="dxa" w:w="1191"/>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Freigabe blockiert</w:t>
            </w:r>
          </w:p>
        </w:tc>
        <w:tc>
          <w:tcPr>
            <w:tcW w:type="dxa" w:w="3628"/>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A-Ursache ungeklärt; B-Felddifferenz nicht aufgelöst</w:t>
            </w:r>
          </w:p>
        </w:tc>
      </w:tr>
      <w:tr>
        <w:trPr>
          <w:cantSplit/>
        </w:trPr>
        <w:tc>
          <w:tcPr>
            <w:tcW w:type="dxa" w:w="2608"/>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WA-42 / PS-01/02</w:t>
              <w:br/>
              <w:t>Prüfstabilität und Einzelbefunde</w:t>
            </w:r>
          </w:p>
        </w:tc>
        <w:tc>
          <w:tcPr>
            <w:tcW w:type="dxa" w:w="2211"/>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Teilweise</w:t>
              <w:br/>
              <w:t>Neue Wächter/Kernfälle</w:t>
            </w:r>
          </w:p>
        </w:tc>
        <w:tc>
          <w:tcPr>
            <w:tcW w:type="dxa" w:w="1191"/>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teilweise</w:t>
            </w:r>
          </w:p>
        </w:tc>
        <w:tc>
          <w:tcPr>
            <w:tcW w:type="dxa" w:w="3628"/>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Originale Pflichtsuite jetzt rot; weitere Fokus-/Showcasebefunde offen</w:t>
            </w:r>
          </w:p>
        </w:tc>
      </w:tr>
    </w:tbl>
    <w:p>
      <w:pPr>
        <w:spacing w:after="40"/>
      </w:pPr>
    </w:p>
    <w:p>
      <w:r>
        <w:br w:type="page"/>
      </w:r>
    </w:p>
    <w:p>
      <w:pPr>
        <w:pStyle w:val="Heading1"/>
      </w:pPr>
      <w:r>
        <w:t>10 Einzelabgleich des UI und UX Auftrags</w:t>
      </w:r>
    </w:p>
    <w:p>
      <w:r>
        <w:rPr>
          <w:b w:val="0"/>
        </w:rPr>
        <w:t>B01 bis B22 werden im Plan als 3.43.0 umgesetzt bzw. gepflegt geführt. Die Liste prüft die Vollständigkeit der Anforderungen und ihren dokumentierten Status. Sie stellt keine neue menschliche Sichtfreigabe jeder Zeile dar. Die jüngsten Designbelege umfassen 384 Knopfprüfungen in vier Größen-/Schrift-/Designkonfigurationen einschließlich Kompaktmodus und drei Scrolllagen.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24"/>
        <w:gridCol w:w="3969"/>
        <w:gridCol w:w="1984"/>
        <w:gridCol w:w="3061"/>
      </w:tblGrid>
      <w:tr>
        <w:trPr>
          <w:tblHeader/>
          <w:cantSplit/>
        </w:trPr>
        <w:tc>
          <w:tcPr>
            <w:tcW w:type="dxa" w:w="624"/>
            <w:vAlign w:val="center"/>
            <w:tcMar>
              <w:top w:w="75" w:type="dxa"/>
              <w:left w:w="75" w:type="dxa"/>
              <w:bottom w:w="75" w:type="dxa"/>
              <w:right w:w="75" w:type="dxa"/>
            </w:tcMar>
            <w:shd w:val="clear" w:color="auto" w:fill="DCE6EF"/>
          </w:tcPr>
          <w:p>
            <w:pPr>
              <w:spacing w:after="40" w:before="40" w:line="245" w:lineRule="auto"/>
            </w:pPr>
            <w:r>
              <w:rPr>
                <w:rFonts w:ascii="Calibri" w:hAnsi="Calibri"/>
                <w:b/>
                <w:color w:val="000000"/>
                <w:sz w:val="18"/>
              </w:rPr>
              <w:t>ID</w:t>
            </w:r>
          </w:p>
        </w:tc>
        <w:tc>
          <w:tcPr>
            <w:tcW w:type="dxa" w:w="3969"/>
            <w:vAlign w:val="center"/>
            <w:tcMar>
              <w:top w:w="75" w:type="dxa"/>
              <w:left w:w="75" w:type="dxa"/>
              <w:bottom w:w="75" w:type="dxa"/>
              <w:right w:w="75" w:type="dxa"/>
            </w:tcMar>
            <w:shd w:val="clear" w:color="auto" w:fill="DCE6EF"/>
          </w:tcPr>
          <w:p>
            <w:pPr>
              <w:spacing w:after="40" w:before="40" w:line="245" w:lineRule="auto"/>
            </w:pPr>
            <w:r>
              <w:rPr>
                <w:rFonts w:ascii="Calibri" w:hAnsi="Calibri"/>
                <w:b/>
                <w:color w:val="000000"/>
                <w:sz w:val="18"/>
              </w:rPr>
              <w:t>Anforderung</w:t>
            </w:r>
          </w:p>
        </w:tc>
        <w:tc>
          <w:tcPr>
            <w:tcW w:type="dxa" w:w="1984"/>
            <w:vAlign w:val="center"/>
            <w:tcMar>
              <w:top w:w="75" w:type="dxa"/>
              <w:left w:w="75" w:type="dxa"/>
              <w:bottom w:w="75" w:type="dxa"/>
              <w:right w:w="75" w:type="dxa"/>
            </w:tcMar>
            <w:shd w:val="clear" w:color="auto" w:fill="DCE6EF"/>
          </w:tcPr>
          <w:p>
            <w:pPr>
              <w:spacing w:after="40" w:before="40" w:line="245" w:lineRule="auto"/>
            </w:pPr>
            <w:r>
              <w:rPr>
                <w:rFonts w:ascii="Calibri" w:hAnsi="Calibri"/>
                <w:b/>
                <w:color w:val="000000"/>
                <w:sz w:val="18"/>
              </w:rPr>
              <w:t>Implementierung</w:t>
            </w:r>
          </w:p>
        </w:tc>
        <w:tc>
          <w:tcPr>
            <w:tcW w:type="dxa" w:w="3061"/>
            <w:vAlign w:val="center"/>
            <w:tcMar>
              <w:top w:w="75" w:type="dxa"/>
              <w:left w:w="75" w:type="dxa"/>
              <w:bottom w:w="75" w:type="dxa"/>
              <w:right w:w="75" w:type="dxa"/>
            </w:tcMar>
            <w:shd w:val="clear" w:color="auto" w:fill="DCE6EF"/>
          </w:tcPr>
          <w:p>
            <w:pPr>
              <w:spacing w:after="40" w:before="40" w:line="245" w:lineRule="auto"/>
            </w:pPr>
            <w:r>
              <w:rPr>
                <w:rFonts w:ascii="Calibri" w:hAnsi="Calibri"/>
                <w:b/>
                <w:color w:val="000000"/>
                <w:sz w:val="18"/>
              </w:rPr>
              <w:t>Abnahmegrenze</w:t>
            </w:r>
          </w:p>
        </w:tc>
      </w:tr>
      <w:tr>
        <w:trPr>
          <w:cantSplit/>
        </w:trPr>
        <w:tc>
          <w:tcPr>
            <w:tcW w:type="dxa" w:w="624"/>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B01</w:t>
            </w:r>
          </w:p>
        </w:tc>
        <w:tc>
          <w:tcPr>
            <w:tcW w:type="dxa" w:w="3969"/>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Startseite nach „Gelesen“ an den Anfang</w:t>
            </w:r>
          </w:p>
        </w:tc>
        <w:tc>
          <w:tcPr>
            <w:tcW w:type="dxa" w:w="1984"/>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Umgesetzt laut Plan</w:t>
            </w:r>
          </w:p>
        </w:tc>
        <w:tc>
          <w:tcPr>
            <w:tcW w:type="dxa" w:w="3061"/>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Native/Menschenabnahme offen</w:t>
            </w:r>
          </w:p>
        </w:tc>
      </w:tr>
      <w:tr>
        <w:trPr>
          <w:cantSplit/>
        </w:trPr>
        <w:tc>
          <w:tcPr>
            <w:tcW w:type="dxa" w:w="624"/>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B02</w:t>
            </w:r>
          </w:p>
        </w:tc>
        <w:tc>
          <w:tcPr>
            <w:tcW w:type="dxa" w:w="3969"/>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„Startseite anpassen“ links</w:t>
            </w:r>
          </w:p>
        </w:tc>
        <w:tc>
          <w:tcPr>
            <w:tcW w:type="dxa" w:w="1984"/>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Umgesetzt laut Plan</w:t>
            </w:r>
          </w:p>
        </w:tc>
        <w:tc>
          <w:tcPr>
            <w:tcW w:type="dxa" w:w="3061"/>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Native/Menschenabnahme offen</w:t>
            </w:r>
          </w:p>
        </w:tc>
      </w:tr>
      <w:tr>
        <w:trPr>
          <w:cantSplit/>
        </w:trPr>
        <w:tc>
          <w:tcPr>
            <w:tcW w:type="dxa" w:w="624"/>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B03</w:t>
            </w:r>
          </w:p>
        </w:tc>
        <w:tc>
          <w:tcPr>
            <w:tcW w:type="dxa" w:w="3969"/>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Gismo fest, Spielereien aktiv</w:t>
            </w:r>
          </w:p>
        </w:tc>
        <w:tc>
          <w:tcPr>
            <w:tcW w:type="dxa" w:w="1984"/>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Umgesetzt laut Plan</w:t>
            </w:r>
          </w:p>
        </w:tc>
        <w:tc>
          <w:tcPr>
            <w:tcW w:type="dxa" w:w="3061"/>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Native/Menschenabnahme offen</w:t>
            </w:r>
          </w:p>
        </w:tc>
      </w:tr>
      <w:tr>
        <w:trPr>
          <w:cantSplit/>
        </w:trPr>
        <w:tc>
          <w:tcPr>
            <w:tcW w:type="dxa" w:w="624"/>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B04</w:t>
            </w:r>
          </w:p>
        </w:tc>
        <w:tc>
          <w:tcPr>
            <w:tcW w:type="dxa" w:w="3969"/>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Galeriebilder auf der Startseite</w:t>
            </w:r>
          </w:p>
        </w:tc>
        <w:tc>
          <w:tcPr>
            <w:tcW w:type="dxa" w:w="1984"/>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Umgesetzt laut Plan</w:t>
            </w:r>
          </w:p>
        </w:tc>
        <w:tc>
          <w:tcPr>
            <w:tcW w:type="dxa" w:w="3061"/>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Native/Menschenabnahme offen</w:t>
            </w:r>
          </w:p>
        </w:tc>
      </w:tr>
      <w:tr>
        <w:trPr>
          <w:cantSplit/>
        </w:trPr>
        <w:tc>
          <w:tcPr>
            <w:tcW w:type="dxa" w:w="624"/>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B05</w:t>
            </w:r>
          </w:p>
        </w:tc>
        <w:tc>
          <w:tcPr>
            <w:tcW w:type="dxa" w:w="3969"/>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Logohöhe</w:t>
            </w:r>
          </w:p>
        </w:tc>
        <w:tc>
          <w:tcPr>
            <w:tcW w:type="dxa" w:w="1984"/>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Umgesetzt laut Plan</w:t>
            </w:r>
          </w:p>
        </w:tc>
        <w:tc>
          <w:tcPr>
            <w:tcW w:type="dxa" w:w="3061"/>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Native/Menschenabnahme offen</w:t>
            </w:r>
          </w:p>
        </w:tc>
      </w:tr>
      <w:tr>
        <w:trPr>
          <w:cantSplit/>
        </w:trPr>
        <w:tc>
          <w:tcPr>
            <w:tcW w:type="dxa" w:w="624"/>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B06</w:t>
            </w:r>
          </w:p>
        </w:tc>
        <w:tc>
          <w:tcPr>
            <w:tcW w:type="dxa" w:w="3969"/>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Datum/„?“ weg, Hinweisschalter</w:t>
            </w:r>
          </w:p>
        </w:tc>
        <w:tc>
          <w:tcPr>
            <w:tcW w:type="dxa" w:w="1984"/>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Umgesetzt laut Plan</w:t>
            </w:r>
          </w:p>
        </w:tc>
        <w:tc>
          <w:tcPr>
            <w:tcW w:type="dxa" w:w="3061"/>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Native/Menschenabnahme offen</w:t>
            </w:r>
          </w:p>
        </w:tc>
      </w:tr>
      <w:tr>
        <w:trPr>
          <w:cantSplit/>
        </w:trPr>
        <w:tc>
          <w:tcPr>
            <w:tcW w:type="dxa" w:w="624"/>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B07</w:t>
            </w:r>
          </w:p>
        </w:tc>
        <w:tc>
          <w:tcPr>
            <w:tcW w:type="dxa" w:w="3969"/>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Menüs und Kopfsymbole ausgerichtet</w:t>
            </w:r>
          </w:p>
        </w:tc>
        <w:tc>
          <w:tcPr>
            <w:tcW w:type="dxa" w:w="1984"/>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Umgesetzt laut Plan</w:t>
            </w:r>
          </w:p>
        </w:tc>
        <w:tc>
          <w:tcPr>
            <w:tcW w:type="dxa" w:w="3061"/>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Native/Menschenabnahme offen</w:t>
            </w:r>
          </w:p>
        </w:tc>
      </w:tr>
      <w:tr>
        <w:trPr>
          <w:cantSplit/>
        </w:trPr>
        <w:tc>
          <w:tcPr>
            <w:tcW w:type="dxa" w:w="624"/>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B08</w:t>
            </w:r>
          </w:p>
        </w:tc>
        <w:tc>
          <w:tcPr>
            <w:tcW w:type="dxa" w:w="3969"/>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Linke Flucht Fehlerprotokoll</w:t>
            </w:r>
          </w:p>
        </w:tc>
        <w:tc>
          <w:tcPr>
            <w:tcW w:type="dxa" w:w="1984"/>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Umgesetzt laut Plan</w:t>
            </w:r>
          </w:p>
        </w:tc>
        <w:tc>
          <w:tcPr>
            <w:tcW w:type="dxa" w:w="3061"/>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Native/Menschenabnahme offen</w:t>
            </w:r>
          </w:p>
        </w:tc>
      </w:tr>
      <w:tr>
        <w:trPr>
          <w:cantSplit/>
        </w:trPr>
        <w:tc>
          <w:tcPr>
            <w:tcW w:type="dxa" w:w="624"/>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B09</w:t>
            </w:r>
          </w:p>
        </w:tc>
        <w:tc>
          <w:tcPr>
            <w:tcW w:type="dxa" w:w="3969"/>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Pfeile/Papierkorb optisch zentriert</w:t>
            </w:r>
          </w:p>
        </w:tc>
        <w:tc>
          <w:tcPr>
            <w:tcW w:type="dxa" w:w="1984"/>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Umgesetzt laut Plan</w:t>
            </w:r>
          </w:p>
        </w:tc>
        <w:tc>
          <w:tcPr>
            <w:tcW w:type="dxa" w:w="3061"/>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Native/Menschenabnahme offen</w:t>
            </w:r>
          </w:p>
        </w:tc>
      </w:tr>
      <w:tr>
        <w:trPr>
          <w:cantSplit/>
        </w:trPr>
        <w:tc>
          <w:tcPr>
            <w:tcW w:type="dxa" w:w="624"/>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B10</w:t>
            </w:r>
          </w:p>
        </w:tc>
        <w:tc>
          <w:tcPr>
            <w:tcW w:type="dxa" w:w="3969"/>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Lupe statt „Su“</w:t>
            </w:r>
          </w:p>
        </w:tc>
        <w:tc>
          <w:tcPr>
            <w:tcW w:type="dxa" w:w="1984"/>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Umgesetzt laut Plan</w:t>
            </w:r>
          </w:p>
        </w:tc>
        <w:tc>
          <w:tcPr>
            <w:tcW w:type="dxa" w:w="3061"/>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Native/Menschenabnahme offen</w:t>
            </w:r>
          </w:p>
        </w:tc>
      </w:tr>
      <w:tr>
        <w:trPr>
          <w:cantSplit/>
        </w:trPr>
        <w:tc>
          <w:tcPr>
            <w:tcW w:type="dxa" w:w="624"/>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B11</w:t>
            </w:r>
          </w:p>
        </w:tc>
        <w:tc>
          <w:tcPr>
            <w:tcW w:type="dxa" w:w="3969"/>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Informationspriorität, Titelbreite</w:t>
            </w:r>
          </w:p>
        </w:tc>
        <w:tc>
          <w:tcPr>
            <w:tcW w:type="dxa" w:w="1984"/>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Umgesetzt laut Plan</w:t>
            </w:r>
          </w:p>
        </w:tc>
        <w:tc>
          <w:tcPr>
            <w:tcW w:type="dxa" w:w="3061"/>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Native/Menschenabnahme offen</w:t>
            </w:r>
          </w:p>
        </w:tc>
      </w:tr>
      <w:tr>
        <w:trPr>
          <w:cantSplit/>
        </w:trPr>
        <w:tc>
          <w:tcPr>
            <w:tcW w:type="dxa" w:w="624"/>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B12</w:t>
            </w:r>
          </w:p>
        </w:tc>
        <w:tc>
          <w:tcPr>
            <w:tcW w:type="dxa" w:w="3969"/>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Eindeutige Pfeile in Heute</w:t>
            </w:r>
          </w:p>
        </w:tc>
        <w:tc>
          <w:tcPr>
            <w:tcW w:type="dxa" w:w="1984"/>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Umgesetzt laut Plan</w:t>
            </w:r>
          </w:p>
        </w:tc>
        <w:tc>
          <w:tcPr>
            <w:tcW w:type="dxa" w:w="3061"/>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Native/Menschenabnahme offen</w:t>
            </w:r>
          </w:p>
        </w:tc>
      </w:tr>
      <w:tr>
        <w:trPr>
          <w:cantSplit/>
        </w:trPr>
        <w:tc>
          <w:tcPr>
            <w:tcW w:type="dxa" w:w="624"/>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B13</w:t>
            </w:r>
          </w:p>
        </w:tc>
        <w:tc>
          <w:tcPr>
            <w:tcW w:type="dxa" w:w="3969"/>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Nächste Aufgabe nur Titel fett</w:t>
            </w:r>
          </w:p>
        </w:tc>
        <w:tc>
          <w:tcPr>
            <w:tcW w:type="dxa" w:w="1984"/>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Umgesetzt laut Plan</w:t>
            </w:r>
          </w:p>
        </w:tc>
        <w:tc>
          <w:tcPr>
            <w:tcW w:type="dxa" w:w="3061"/>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Native/Menschenabnahme offen</w:t>
            </w:r>
          </w:p>
        </w:tc>
      </w:tr>
      <w:tr>
        <w:trPr>
          <w:cantSplit/>
        </w:trPr>
        <w:tc>
          <w:tcPr>
            <w:tcW w:type="dxa" w:w="624"/>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B14</w:t>
            </w:r>
          </w:p>
        </w:tc>
        <w:tc>
          <w:tcPr>
            <w:tcW w:type="dxa" w:w="3969"/>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Kein Kästchen vor „Aufgabe“</w:t>
            </w:r>
          </w:p>
        </w:tc>
        <w:tc>
          <w:tcPr>
            <w:tcW w:type="dxa" w:w="1984"/>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Umgesetzt laut Plan</w:t>
            </w:r>
          </w:p>
        </w:tc>
        <w:tc>
          <w:tcPr>
            <w:tcW w:type="dxa" w:w="3061"/>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Native/Menschenabnahme offen</w:t>
            </w:r>
          </w:p>
        </w:tc>
      </w:tr>
      <w:tr>
        <w:trPr>
          <w:cantSplit/>
        </w:trPr>
        <w:tc>
          <w:tcPr>
            <w:tcW w:type="dxa" w:w="624"/>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B15</w:t>
            </w:r>
          </w:p>
        </w:tc>
        <w:tc>
          <w:tcPr>
            <w:tcW w:type="dxa" w:w="3969"/>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Papierkorbtext, Buttonschutz</w:t>
            </w:r>
          </w:p>
        </w:tc>
        <w:tc>
          <w:tcPr>
            <w:tcW w:type="dxa" w:w="1984"/>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Umgesetzt laut Plan</w:t>
            </w:r>
          </w:p>
        </w:tc>
        <w:tc>
          <w:tcPr>
            <w:tcW w:type="dxa" w:w="3061"/>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Native/Menschenabnahme offen</w:t>
            </w:r>
          </w:p>
        </w:tc>
      </w:tr>
      <w:tr>
        <w:trPr>
          <w:cantSplit/>
        </w:trPr>
        <w:tc>
          <w:tcPr>
            <w:tcW w:type="dxa" w:w="624"/>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B16</w:t>
            </w:r>
          </w:p>
        </w:tc>
        <w:tc>
          <w:tcPr>
            <w:tcW w:type="dxa" w:w="3969"/>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Scrollsprung über Bildern</w:t>
            </w:r>
          </w:p>
        </w:tc>
        <w:tc>
          <w:tcPr>
            <w:tcW w:type="dxa" w:w="1984"/>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Umgesetzt laut Plan</w:t>
            </w:r>
          </w:p>
        </w:tc>
        <w:tc>
          <w:tcPr>
            <w:tcW w:type="dxa" w:w="3061"/>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Native/Menschenabnahme offen</w:t>
            </w:r>
          </w:p>
        </w:tc>
      </w:tr>
      <w:tr>
        <w:trPr>
          <w:cantSplit/>
        </w:trPr>
        <w:tc>
          <w:tcPr>
            <w:tcW w:type="dxa" w:w="624"/>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B17</w:t>
            </w:r>
          </w:p>
        </w:tc>
        <w:tc>
          <w:tcPr>
            <w:tcW w:type="dxa" w:w="3969"/>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Hintergrundkästen oberer Aktionen</w:t>
            </w:r>
          </w:p>
        </w:tc>
        <w:tc>
          <w:tcPr>
            <w:tcW w:type="dxa" w:w="1984"/>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Umgesetzt laut Plan</w:t>
            </w:r>
          </w:p>
        </w:tc>
        <w:tc>
          <w:tcPr>
            <w:tcW w:type="dxa" w:w="3061"/>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Native/Menschenabnahme offen</w:t>
            </w:r>
          </w:p>
        </w:tc>
      </w:tr>
      <w:tr>
        <w:trPr>
          <w:cantSplit/>
        </w:trPr>
        <w:tc>
          <w:tcPr>
            <w:tcW w:type="dxa" w:w="624"/>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B18</w:t>
            </w:r>
          </w:p>
        </w:tc>
        <w:tc>
          <w:tcPr>
            <w:tcW w:type="dxa" w:w="3969"/>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Neuerungen unter „Über Glide“</w:t>
            </w:r>
          </w:p>
        </w:tc>
        <w:tc>
          <w:tcPr>
            <w:tcW w:type="dxa" w:w="1984"/>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Umgesetzt laut Plan</w:t>
            </w:r>
          </w:p>
        </w:tc>
        <w:tc>
          <w:tcPr>
            <w:tcW w:type="dxa" w:w="3061"/>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Native/Menschenabnahme offen</w:t>
            </w:r>
          </w:p>
        </w:tc>
      </w:tr>
      <w:tr>
        <w:trPr>
          <w:cantSplit/>
        </w:trPr>
        <w:tc>
          <w:tcPr>
            <w:tcW w:type="dxa" w:w="624"/>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B19</w:t>
            </w:r>
          </w:p>
        </w:tc>
        <w:tc>
          <w:tcPr>
            <w:tcW w:type="dxa" w:w="3969"/>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Hintergrundkästen Punktbearbeitung</w:t>
            </w:r>
          </w:p>
        </w:tc>
        <w:tc>
          <w:tcPr>
            <w:tcW w:type="dxa" w:w="1984"/>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Umgesetzt laut Plan</w:t>
            </w:r>
          </w:p>
        </w:tc>
        <w:tc>
          <w:tcPr>
            <w:tcW w:type="dxa" w:w="3061"/>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Native/Menschenabnahme offen</w:t>
            </w:r>
          </w:p>
        </w:tc>
      </w:tr>
      <w:tr>
        <w:trPr>
          <w:cantSplit/>
        </w:trPr>
        <w:tc>
          <w:tcPr>
            <w:tcW w:type="dxa" w:w="624"/>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B20</w:t>
            </w:r>
          </w:p>
        </w:tc>
        <w:tc>
          <w:tcPr>
            <w:tcW w:type="dxa" w:w="3969"/>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Skills neutral als Design Richtlinien</w:t>
            </w:r>
          </w:p>
        </w:tc>
        <w:tc>
          <w:tcPr>
            <w:tcW w:type="dxa" w:w="1984"/>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Umgesetzt laut Plan</w:t>
            </w:r>
          </w:p>
        </w:tc>
        <w:tc>
          <w:tcPr>
            <w:tcW w:type="dxa" w:w="3061"/>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Richtlinien/Quellen gepflegt</w:t>
            </w:r>
          </w:p>
        </w:tc>
      </w:tr>
      <w:tr>
        <w:trPr>
          <w:cantSplit/>
        </w:trPr>
        <w:tc>
          <w:tcPr>
            <w:tcW w:type="dxa" w:w="624"/>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B21</w:t>
            </w:r>
          </w:p>
        </w:tc>
        <w:tc>
          <w:tcPr>
            <w:tcW w:type="dxa" w:w="3969"/>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Verständliche Übergabe</w:t>
            </w:r>
          </w:p>
        </w:tc>
        <w:tc>
          <w:tcPr>
            <w:tcW w:type="dxa" w:w="1984"/>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Umgesetzt laut Plan</w:t>
            </w:r>
          </w:p>
        </w:tc>
        <w:tc>
          <w:tcPr>
            <w:tcW w:type="dxa" w:w="3061"/>
            <w:vAlign w:val="center"/>
            <w:tcMar>
              <w:top w:w="75" w:type="dxa"/>
              <w:left w:w="75" w:type="dxa"/>
              <w:bottom w:w="75" w:type="dxa"/>
              <w:right w:w="75" w:type="dxa"/>
            </w:tcMar>
            <w:shd w:val="clear" w:color="auto" w:fill="FFFFFF"/>
          </w:tcPr>
          <w:p>
            <w:pPr>
              <w:spacing w:after="40" w:before="40" w:line="245" w:lineRule="auto"/>
            </w:pPr>
            <w:r>
              <w:rPr>
                <w:rFonts w:ascii="Calibri" w:hAnsi="Calibri"/>
                <w:sz w:val="18"/>
              </w:rPr>
              <w:t>Dokumentpflege fortlaufend</w:t>
            </w:r>
          </w:p>
        </w:tc>
      </w:tr>
      <w:tr>
        <w:trPr>
          <w:cantSplit/>
        </w:trPr>
        <w:tc>
          <w:tcPr>
            <w:tcW w:type="dxa" w:w="624"/>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B22</w:t>
            </w:r>
          </w:p>
        </w:tc>
        <w:tc>
          <w:tcPr>
            <w:tcW w:type="dxa" w:w="3969"/>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Dokumentation/Ablage/Projektauftritt zuletzt</w:t>
            </w:r>
          </w:p>
        </w:tc>
        <w:tc>
          <w:tcPr>
            <w:tcW w:type="dxa" w:w="1984"/>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Umgesetzt laut Plan</w:t>
            </w:r>
          </w:p>
        </w:tc>
        <w:tc>
          <w:tcPr>
            <w:tcW w:type="dxa" w:w="3061"/>
            <w:vAlign w:val="center"/>
            <w:tcMar>
              <w:top w:w="75" w:type="dxa"/>
              <w:left w:w="75" w:type="dxa"/>
              <w:bottom w:w="75" w:type="dxa"/>
              <w:right w:w="75" w:type="dxa"/>
            </w:tcMar>
            <w:shd w:val="clear" w:color="auto" w:fill="F2F5F7"/>
          </w:tcPr>
          <w:p>
            <w:pPr>
              <w:spacing w:after="40" w:before="40" w:line="245" w:lineRule="auto"/>
            </w:pPr>
            <w:r>
              <w:rPr>
                <w:rFonts w:ascii="Calibri" w:hAnsi="Calibri"/>
                <w:sz w:val="18"/>
              </w:rPr>
              <w:t>Aktuelle Lieferung/Gesamtabnahme offen</w:t>
            </w:r>
          </w:p>
        </w:tc>
      </w:tr>
    </w:tbl>
    <w:p>
      <w:pPr>
        <w:spacing w:after="40"/>
      </w:pPr>
    </w:p>
    <w:p>
      <w:r>
        <w:rPr>
          <w:b w:val="0"/>
        </w:rPr>
        <w:t>A01–A03 sind bereits in Kapitel 6 bewertet. Die Auswahl E-U2 A verlangt eine lesende Nebenansicht mit gezielten Originalaktionen; zwei gleichzeitig schreibende Editoren oder ein zweites Fenster sind kein unerledigter Rest dieser Auswahl.</w:t>
      </w:r>
    </w:p>
    <w:p>
      <w:r>
        <w:br w:type="page"/>
      </w:r>
    </w:p>
    <w:p>
      <w:pPr>
        <w:pStyle w:val="Heading1"/>
      </w:pPr>
      <w:r>
        <w:t>11 Konkrete Befunde und offene Abnahmebedingungen</w:t>
      </w:r>
    </w:p>
    <w:p>
      <w:pPr>
        <w:pStyle w:val="Heading2"/>
      </w:pPr>
      <w:r>
        <w:t>A01 Aktueller Pflichtfall für Wiederholen ist rot</w:t>
      </w:r>
    </w:p>
    <w:p>
      <w:r>
        <w:rPr>
          <w:b w:val="0"/>
        </w:rPr>
        <w:t>Der Originalfall „gueltigkeit“ scheitert nach seinem simulierten Neustart beim Anwählen eines Treeview-Elements. Die Probe zeigt davor readonly=false, danach readonly=true, Grund recovery und Sitzungsstatus active. Der Test gibt die Datensperre frei und zerstört das Fenster, bestätigt aber keinen sauberen Sitzungsabschluss. Mit zusätzlichem sauberem Abschluss ausschließlich im Diagnoseadapter besteht derselbe Fall unverändert. Die Produktionsquelle bleibt identisch. Empfehlung: Prüfharness fachgerecht anpassen, echte Abbruchfälle separat erhalten und danach Originalsuite sowie Folgematrix erneut ausführen. Bis dahin kein grüner FP-01-Gesamtnachweis. E07/E08.</w:t>
      </w:r>
    </w:p>
    <w:p>
      <w:pPr>
        <w:pStyle w:val="Heading2"/>
      </w:pPr>
      <w:r>
        <w:t>A02 P8 und mehrere Querschnittsarbeiten sind nicht vollendet</w:t>
      </w:r>
    </w:p>
    <w:p>
      <w:r>
        <w:rPr>
          <w:b w:val="0"/>
        </w:rPr>
        <w:t>Der begonnene 4.0-Aufgaben-/Readerkern ist nach D50 pausiert. WA-09, WA-32, WA-36–40 und Teile der Prüfstabilität besitzen ausdrücklich offene Restumfänge. Ein vorhandener Startseitenpilot oder Speicherkoordinator schließt nicht alle übrigen Ansichten, Caller oder Fehlerhandler ab. Die konkrete Liste steht in Kapitel 9. E01/E04.</w:t>
      </w:r>
    </w:p>
    <w:p>
      <w:pPr>
        <w:pStyle w:val="Heading2"/>
      </w:pPr>
      <w:r>
        <w:t>A03 WA 41 bleibt ein eigenständiges Freigabetor</w:t>
      </w:r>
    </w:p>
    <w:p>
      <w:r>
        <w:rPr>
          <w:b w:val="0"/>
        </w:rPr>
        <w:t>WA-41A betrifft Prozess-/Interpreterabbrüche, WA-41B einen nicht aufgeklärten Save/Reload-Unterschied. Grüne AMD-Gegenproben, Schutzmarker und erfolgreiche Fachtests sind kein Ursachennachweis und keine Entwarnung für die Datenkonsistenz. Ein Datenverlust in einem echten Nutzerbestand ist nicht belegt. Keine BIOS-/CPU-Änderung oder erneute Original-Speicherlast aus diesem Audit. E03/E10.</w:t>
      </w:r>
    </w:p>
    <w:p>
      <w:pPr>
        <w:pStyle w:val="Heading2"/>
      </w:pPr>
      <w:r>
        <w:t>A04 Aktuelle Quelle ist nicht aktuell geliefert</w:t>
      </w:r>
    </w:p>
    <w:p>
      <w:r>
        <w:rPr>
          <w:b w:val="0"/>
        </w:rPr>
        <w:t>Die CI-Grundstufe meldet zehn erwartete Unterschiede zu 07_Python-Versionen. Die gelesene Python-Fassung steht auf 3.47.0, beide unveränderten nativen Archive auf 3.45.0. Damit sind die 3.48/3.49-Erweiterungen im Source vorhanden, aber noch nicht als vollständige aktuelle Lieferung abgenommen. E05/E06.</w:t>
      </w:r>
    </w:p>
    <w:p>
      <w:pPr>
        <w:pStyle w:val="Heading2"/>
      </w:pPr>
      <w:r>
        <w:t>A05 Dokumentation enthält überholte Einzelangaben</w:t>
      </w:r>
    </w:p>
    <w:p>
      <w:r>
        <w:rPr>
          <w:b w:val="0"/>
        </w:rPr>
        <w:t>Die manuelle Prüfliste trägt im Kopf 3.49.0, nennt im ersten aktuellen Prüfabsatz aber noch „heutigen Quellkandidaten 3.48.0“. Plan §18.3 führt WA-12 noch als ungeliefert, während der spätere Lieferabschluss §21.20 den umfassenderen 3.45.0-Stand beschreibt. Vier Modulverweise in §18.2 existieren nicht mehr als Dateien: template_helpers.py, drawing_import.py, drawing_palette.py und drawing_animation.py. Die Funktionen sind im Integrationscode bzw. drawing.py/animation.py zu finden. Das sind Nachweis-/Pflegeprobleme, keine allein daraus bewiesenen fehlenden Features. E01/E04/E11.</w:t>
      </w:r>
    </w:p>
    <w:p>
      <w:r>
        <w:br w:type="page"/>
      </w:r>
    </w:p>
    <w:p>
      <w:pPr>
        <w:pStyle w:val="Heading1"/>
      </w:pPr>
      <w:r>
        <w:t>12 Nicht begonnene Optionen und Freigabeplan</w:t>
      </w:r>
    </w:p>
    <w:p>
      <w:r>
        <w:rPr>
          <w:b w:val="0"/>
        </w:rPr>
        <w:t>Die folgenden Erweiterungen sind offen, jedoch keine unvollendet liegengebliebenen Implementierungen des bestätigten Kernumfangs. Ihre Planung oder Bewertung ist nicht mit einem Umsetzungsauftrag gleichzusetzen.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8"/>
        <w:gridCol w:w="6180"/>
      </w:tblGrid>
      <w:tr>
        <w:trPr>
          <w:tblHeader/>
          <w:cantSplit/>
        </w:trPr>
        <w:tc>
          <w:tcPr>
            <w:tcW w:type="dxa" w:w="3458"/>
            <w:vAlign w:val="center"/>
            <w:tcMar>
              <w:top w:w="75" w:type="dxa"/>
              <w:left w:w="75" w:type="dxa"/>
              <w:bottom w:w="75" w:type="dxa"/>
              <w:right w:w="75" w:type="dxa"/>
            </w:tcMar>
            <w:shd w:val="clear" w:color="auto" w:fill="DCE6EF"/>
          </w:tcPr>
          <w:p>
            <w:pPr>
              <w:spacing w:after="40" w:before="40" w:line="245" w:lineRule="auto"/>
            </w:pPr>
            <w:r>
              <w:rPr>
                <w:rFonts w:ascii="Calibri" w:hAnsi="Calibri"/>
                <w:b/>
                <w:color w:val="000000"/>
                <w:sz w:val="19"/>
              </w:rPr>
              <w:t>Vorschlag oder Tor</w:t>
            </w:r>
          </w:p>
        </w:tc>
        <w:tc>
          <w:tcPr>
            <w:tcW w:type="dxa" w:w="6180"/>
            <w:vAlign w:val="center"/>
            <w:tcMar>
              <w:top w:w="75" w:type="dxa"/>
              <w:left w:w="75" w:type="dxa"/>
              <w:bottom w:w="75" w:type="dxa"/>
              <w:right w:w="75" w:type="dxa"/>
            </w:tcMar>
            <w:shd w:val="clear" w:color="auto" w:fill="DCE6EF"/>
          </w:tcPr>
          <w:p>
            <w:pPr>
              <w:spacing w:after="40" w:before="40" w:line="245" w:lineRule="auto"/>
            </w:pPr>
            <w:r>
              <w:rPr>
                <w:rFonts w:ascii="Calibri" w:hAnsi="Calibri"/>
                <w:b/>
                <w:color w:val="000000"/>
                <w:sz w:val="19"/>
              </w:rPr>
              <w:t>Einordnung</w:t>
            </w:r>
          </w:p>
        </w:tc>
      </w:tr>
      <w:tr>
        <w:trPr>
          <w:cantSplit/>
        </w:trPr>
        <w:tc>
          <w:tcPr>
            <w:tcW w:type="dxa" w:w="3458"/>
            <w:vAlign w:val="center"/>
            <w:tcMar>
              <w:top w:w="75" w:type="dxa"/>
              <w:left w:w="75" w:type="dxa"/>
              <w:bottom w:w="75" w:type="dxa"/>
              <w:right w:w="75" w:type="dxa"/>
            </w:tcMar>
            <w:shd w:val="clear" w:color="auto" w:fill="FFFFFF"/>
          </w:tcPr>
          <w:p>
            <w:pPr>
              <w:spacing w:after="40" w:before="40" w:line="245" w:lineRule="auto"/>
            </w:pPr>
            <w:r>
              <w:rPr>
                <w:rFonts w:ascii="Calibri" w:hAnsi="Calibri"/>
                <w:sz w:val="19"/>
              </w:rPr>
              <w:t>FP-07 JSON Canvas Stufe 2</w:t>
            </w:r>
          </w:p>
        </w:tc>
        <w:tc>
          <w:tcPr>
            <w:tcW w:type="dxa" w:w="6180"/>
            <w:vAlign w:val="center"/>
            <w:tcMar>
              <w:top w:w="75" w:type="dxa"/>
              <w:left w:w="75" w:type="dxa"/>
              <w:bottom w:w="75" w:type="dxa"/>
              <w:right w:w="75" w:type="dxa"/>
            </w:tcMar>
            <w:shd w:val="clear" w:color="auto" w:fill="FFFFFF"/>
          </w:tcPr>
          <w:p>
            <w:pPr>
              <w:spacing w:after="40" w:before="40" w:line="245" w:lineRule="auto"/>
            </w:pPr>
            <w:r>
              <w:rPr>
                <w:rFonts w:ascii="Calibri" w:hAnsi="Calibri"/>
                <w:sz w:val="19"/>
              </w:rPr>
              <w:t>Option E-P5, nicht mit gewählter Markdownausgabe gleichsetzen</w:t>
            </w:r>
          </w:p>
        </w:tc>
      </w:tr>
      <w:tr>
        <w:trPr>
          <w:cantSplit/>
        </w:trPr>
        <w:tc>
          <w:tcPr>
            <w:tcW w:type="dxa" w:w="3458"/>
            <w:vAlign w:val="center"/>
            <w:tcMar>
              <w:top w:w="75" w:type="dxa"/>
              <w:left w:w="75" w:type="dxa"/>
              <w:bottom w:w="75" w:type="dxa"/>
              <w:right w:w="75" w:type="dxa"/>
            </w:tcMar>
            <w:shd w:val="clear" w:color="auto" w:fill="F2F5F7"/>
          </w:tcPr>
          <w:p>
            <w:pPr>
              <w:spacing w:after="40" w:before="40" w:line="245" w:lineRule="auto"/>
            </w:pPr>
            <w:r>
              <w:rPr>
                <w:rFonts w:ascii="Calibri" w:hAnsi="Calibri"/>
                <w:sz w:val="19"/>
              </w:rPr>
              <w:t>WA-19 bis WA-25</w:t>
            </w:r>
          </w:p>
        </w:tc>
        <w:tc>
          <w:tcPr>
            <w:tcW w:type="dxa" w:w="6180"/>
            <w:vAlign w:val="center"/>
            <w:tcMar>
              <w:top w:w="75" w:type="dxa"/>
              <w:left w:w="75" w:type="dxa"/>
              <w:bottom w:w="75" w:type="dxa"/>
              <w:right w:w="75" w:type="dxa"/>
            </w:tcMar>
            <w:shd w:val="clear" w:color="auto" w:fill="F2F5F7"/>
          </w:tcPr>
          <w:p>
            <w:pPr>
              <w:spacing w:after="40" w:before="40" w:line="245" w:lineRule="auto"/>
            </w:pPr>
            <w:r>
              <w:rPr>
                <w:rFonts w:ascii="Calibri" w:hAnsi="Calibri"/>
                <w:sz w:val="19"/>
              </w:rPr>
              <w:t>Zusatzimporter, Wochenziele, Fundorte, Layoutbackup, Serienausnahmen/-historie und Seitenzeit: nicht pauschal ausgewählt</w:t>
            </w:r>
          </w:p>
        </w:tc>
      </w:tr>
      <w:tr>
        <w:trPr>
          <w:cantSplit/>
        </w:trPr>
        <w:tc>
          <w:tcPr>
            <w:tcW w:type="dxa" w:w="3458"/>
            <w:vAlign w:val="center"/>
            <w:tcMar>
              <w:top w:w="75" w:type="dxa"/>
              <w:left w:w="75" w:type="dxa"/>
              <w:bottom w:w="75" w:type="dxa"/>
              <w:right w:w="75" w:type="dxa"/>
            </w:tcMar>
            <w:shd w:val="clear" w:color="auto" w:fill="FFFFFF"/>
          </w:tcPr>
          <w:p>
            <w:pPr>
              <w:spacing w:after="40" w:before="40" w:line="245" w:lineRule="auto"/>
            </w:pPr>
            <w:r>
              <w:rPr>
                <w:rFonts w:ascii="Calibri" w:hAnsi="Calibri"/>
                <w:sz w:val="19"/>
              </w:rPr>
              <w:t>WA-08/14/15, OCR/Connector/URI</w:t>
            </w:r>
          </w:p>
        </w:tc>
        <w:tc>
          <w:tcPr>
            <w:tcW w:type="dxa" w:w="6180"/>
            <w:vAlign w:val="center"/>
            <w:tcMar>
              <w:top w:w="75" w:type="dxa"/>
              <w:left w:w="75" w:type="dxa"/>
              <w:bottom w:w="75" w:type="dxa"/>
              <w:right w:w="75" w:type="dxa"/>
            </w:tcMar>
            <w:shd w:val="clear" w:color="auto" w:fill="FFFFFF"/>
          </w:tcPr>
          <w:p>
            <w:pPr>
              <w:spacing w:after="40" w:before="40" w:line="245" w:lineRule="auto"/>
            </w:pPr>
            <w:r>
              <w:rPr>
                <w:rFonts w:ascii="Calibri" w:hAnsi="Calibri"/>
                <w:sz w:val="19"/>
              </w:rPr>
              <w:t>Bedarfsabhängige bzw. ungewählte Erweiterungen; keine neue Umsetzung aus diesem Bericht</w:t>
            </w:r>
          </w:p>
        </w:tc>
      </w:tr>
      <w:tr>
        <w:trPr>
          <w:cantSplit/>
        </w:trPr>
        <w:tc>
          <w:tcPr>
            <w:tcW w:type="dxa" w:w="3458"/>
            <w:vAlign w:val="center"/>
            <w:tcMar>
              <w:top w:w="75" w:type="dxa"/>
              <w:left w:w="75" w:type="dxa"/>
              <w:bottom w:w="75" w:type="dxa"/>
              <w:right w:w="75" w:type="dxa"/>
            </w:tcMar>
            <w:shd w:val="clear" w:color="auto" w:fill="F2F5F7"/>
          </w:tcPr>
          <w:p>
            <w:pPr>
              <w:spacing w:after="40" w:before="40" w:line="245" w:lineRule="auto"/>
            </w:pPr>
            <w:r>
              <w:rPr>
                <w:rFonts w:ascii="Calibri" w:hAnsi="Calibri"/>
                <w:sz w:val="19"/>
              </w:rPr>
              <w:t>WA-43/44/45/46 und WA-49/50</w:t>
            </w:r>
          </w:p>
        </w:tc>
        <w:tc>
          <w:tcPr>
            <w:tcW w:type="dxa" w:w="6180"/>
            <w:vAlign w:val="center"/>
            <w:tcMar>
              <w:top w:w="75" w:type="dxa"/>
              <w:left w:w="75" w:type="dxa"/>
              <w:bottom w:w="75" w:type="dxa"/>
              <w:right w:w="75" w:type="dxa"/>
            </w:tcMar>
            <w:shd w:val="clear" w:color="auto" w:fill="F2F5F7"/>
          </w:tcPr>
          <w:p>
            <w:pPr>
              <w:spacing w:after="40" w:before="40" w:line="245" w:lineRule="auto"/>
            </w:pPr>
            <w:r>
              <w:rPr>
                <w:rFonts w:ascii="Calibri" w:hAnsi="Calibri"/>
                <w:sz w:val="19"/>
              </w:rPr>
              <w:t>Release-/Wartungsaufgaben aus dem Register; Umsetzung nicht pauschal als begonnen verbuchen</w:t>
            </w:r>
          </w:p>
        </w:tc>
      </w:tr>
      <w:tr>
        <w:trPr>
          <w:cantSplit/>
        </w:trPr>
        <w:tc>
          <w:tcPr>
            <w:tcW w:type="dxa" w:w="3458"/>
            <w:vAlign w:val="center"/>
            <w:tcMar>
              <w:top w:w="75" w:type="dxa"/>
              <w:left w:w="75" w:type="dxa"/>
              <w:bottom w:w="75" w:type="dxa"/>
              <w:right w:w="75" w:type="dxa"/>
            </w:tcMar>
            <w:shd w:val="clear" w:color="auto" w:fill="FFFFFF"/>
          </w:tcPr>
          <w:p>
            <w:pPr>
              <w:spacing w:after="40" w:before="40" w:line="245" w:lineRule="auto"/>
            </w:pPr>
            <w:r>
              <w:rPr>
                <w:rFonts w:ascii="Calibri" w:hAnsi="Calibri"/>
                <w:sz w:val="19"/>
              </w:rPr>
              <w:t>Cloud/Team/Mobile/SQL-Neubau</w:t>
            </w:r>
          </w:p>
        </w:tc>
        <w:tc>
          <w:tcPr>
            <w:tcW w:type="dxa" w:w="6180"/>
            <w:vAlign w:val="center"/>
            <w:tcMar>
              <w:top w:w="75" w:type="dxa"/>
              <w:left w:w="75" w:type="dxa"/>
              <w:bottom w:w="75" w:type="dxa"/>
              <w:right w:w="75" w:type="dxa"/>
            </w:tcMar>
            <w:shd w:val="clear" w:color="auto" w:fill="FFFFFF"/>
          </w:tcPr>
          <w:p>
            <w:pPr>
              <w:spacing w:after="40" w:before="40" w:line="245" w:lineRule="auto"/>
            </w:pPr>
            <w:r>
              <w:rPr>
                <w:rFonts w:ascii="Calibri" w:hAnsi="Calibri"/>
                <w:sz w:val="19"/>
              </w:rPr>
              <w:t>Keine fehlende Standardfunktion dieses Auftrags; geltende Produktgrenzen beachten</w:t>
            </w:r>
          </w:p>
        </w:tc>
      </w:tr>
    </w:tbl>
    <w:p>
      <w:pPr>
        <w:spacing w:after="40"/>
      </w:pPr>
    </w:p>
    <w:p>
      <w:pPr>
        <w:pStyle w:val="Heading2"/>
      </w:pPr>
      <w:r>
        <w:t>Vor einer Gesamtabnahme erforderlich</w:t>
      </w:r>
    </w:p>
    <w:p>
      <w:r>
        <w:rPr>
          <w:b w:val="0"/>
        </w:rPr>
        <w:t>1. Roten FP-01-Prüfadapter mit sauberem Sitzungsabschluss korrigieren, Originalkriterien und echte Crashfälle erhalten.</w:t>
        <w:br/>
        <w:t>2. Die gestoppte Folgematrix auf unveränderten Bytes durchführen und jeden Befund begründen.</w:t>
        <w:br/>
        <w:t>3. Begonnene Teilumfänge aus Kapitel 9 abschließen oder vom Inhaber ausdrücklich aus der jeweiligen Teilabnahme ausnehmen.</w:t>
        <w:br/>
        <w:t>4. WA-41A/B und aktuelle breite/native Prüfgrenzen gesondert klären.</w:t>
        <w:br/>
        <w:t>5. Python/Showcase und eigenständige Pakete auf den freigegebenen Quellstand bringen; Hashes, native Starts und Signaturnachweise prüfen.</w:t>
        <w:br/>
        <w:t>6. Mac/Windows/Linux, DPI/Mehrmonitor, Reader/Tastatur und die offenen Menschenpunkte aus der bestehenden Prüfliste abnehmen. Öffentliche Lizenz-/Signierungs-/Lieferkettentore bleiben getrennt.</w:t>
      </w:r>
    </w:p>
    <w:p>
      <w:pPr>
        <w:pStyle w:val="Heading2"/>
      </w:pPr>
      <w:r>
        <w:t>Dokumentation der Entscheidung</w:t>
      </w:r>
    </w:p>
    <w:p>
      <w:r>
        <w:rPr>
          <w:b w:val="0"/>
        </w:rPr>
        <w:t>[ ] Technische Teilabnahme nur der ausdrücklich benannten Implementierungen</w:t>
        <w:br/>
        <w:t>[ ] Gesamtabnahme zurückgestellt</w:t>
        <w:br/>
        <w:t>[ ] Erneute Prüfung nach Erfüllung der offenen Bedingungen</w:t>
      </w:r>
    </w:p>
    <w:p>
      <w:r>
        <w:rPr>
          <w:b w:val="0"/>
        </w:rPr>
        <w:t>Abgenommener Teilumfang und Ausnahmen:</w:t>
        <w:br/>
        <w:t>______________________________________________________________________</w:t>
        <w:br/>
        <w:t>______________________________________________________________________</w:t>
      </w:r>
    </w:p>
    <w:p>
      <w:r>
        <w:rPr>
          <w:b w:val="0"/>
        </w:rPr>
        <w:t>Abnehmende Person _____________________   Datum _____________________</w:t>
        <w:br/>
        <w:t>Bestätigung / Unterschrift _____________________________________________</w:t>
      </w:r>
    </w:p>
    <w:p>
      <w:r>
        <w:br w:type="page"/>
      </w:r>
    </w:p>
    <w:p>
      <w:pPr>
        <w:pStyle w:val="Heading1"/>
      </w:pPr>
      <w:r>
        <w:t>13 Quellen und unverwechselbarer Prüfstand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80"/>
        <w:gridCol w:w="4649"/>
        <w:gridCol w:w="4309"/>
      </w:tblGrid>
      <w:tr>
        <w:trPr>
          <w:tblHeader/>
          <w:cantSplit/>
        </w:trPr>
        <w:tc>
          <w:tcPr>
            <w:tcW w:type="dxa" w:w="680"/>
            <w:vAlign w:val="center"/>
            <w:tcMar>
              <w:top w:w="75" w:type="dxa"/>
              <w:left w:w="75" w:type="dxa"/>
              <w:bottom w:w="75" w:type="dxa"/>
              <w:right w:w="75" w:type="dxa"/>
            </w:tcMar>
            <w:shd w:val="clear" w:color="auto" w:fill="DCE6EF"/>
          </w:tcPr>
          <w:p>
            <w:pPr>
              <w:spacing w:after="40" w:before="40" w:line="245" w:lineRule="auto"/>
            </w:pPr>
            <w:r>
              <w:rPr>
                <w:rFonts w:ascii="Calibri" w:hAnsi="Calibri"/>
                <w:b/>
                <w:color w:val="000000"/>
                <w:sz w:val="17"/>
              </w:rPr>
              <w:t>Beleg</w:t>
            </w:r>
          </w:p>
        </w:tc>
        <w:tc>
          <w:tcPr>
            <w:tcW w:type="dxa" w:w="4649"/>
            <w:vAlign w:val="center"/>
            <w:tcMar>
              <w:top w:w="75" w:type="dxa"/>
              <w:left w:w="75" w:type="dxa"/>
              <w:bottom w:w="75" w:type="dxa"/>
              <w:right w:w="75" w:type="dxa"/>
            </w:tcMar>
            <w:shd w:val="clear" w:color="auto" w:fill="DCE6EF"/>
          </w:tcPr>
          <w:p>
            <w:pPr>
              <w:spacing w:after="40" w:before="40" w:line="245" w:lineRule="auto"/>
            </w:pPr>
            <w:r>
              <w:rPr>
                <w:rFonts w:ascii="Calibri" w:hAnsi="Calibri"/>
                <w:b/>
                <w:color w:val="000000"/>
                <w:sz w:val="17"/>
              </w:rPr>
              <w:t>Quelle</w:t>
            </w:r>
          </w:p>
        </w:tc>
        <w:tc>
          <w:tcPr>
            <w:tcW w:type="dxa" w:w="4309"/>
            <w:vAlign w:val="center"/>
            <w:tcMar>
              <w:top w:w="75" w:type="dxa"/>
              <w:left w:w="75" w:type="dxa"/>
              <w:bottom w:w="75" w:type="dxa"/>
              <w:right w:w="75" w:type="dxa"/>
            </w:tcMar>
            <w:shd w:val="clear" w:color="auto" w:fill="DCE6EF"/>
          </w:tcPr>
          <w:p>
            <w:pPr>
              <w:spacing w:after="40" w:before="40" w:line="245" w:lineRule="auto"/>
            </w:pPr>
            <w:r>
              <w:rPr>
                <w:rFonts w:ascii="Calibri" w:hAnsi="Calibri"/>
                <w:b/>
                <w:color w:val="000000"/>
                <w:sz w:val="17"/>
              </w:rPr>
              <w:t>Verwendung</w:t>
            </w:r>
          </w:p>
        </w:tc>
      </w:tr>
      <w:tr>
        <w:trPr>
          <w:cantSplit/>
        </w:trPr>
        <w:tc>
          <w:tcPr>
            <w:tcW w:type="dxa" w:w="680"/>
            <w:vAlign w:val="center"/>
            <w:tcMar>
              <w:top w:w="75" w:type="dxa"/>
              <w:left w:w="75" w:type="dxa"/>
              <w:bottom w:w="75" w:type="dxa"/>
              <w:right w:w="75" w:type="dxa"/>
            </w:tcMar>
            <w:shd w:val="clear" w:color="auto" w:fill="FFFFFF"/>
          </w:tcPr>
          <w:p>
            <w:pPr>
              <w:spacing w:after="40" w:before="40" w:line="245" w:lineRule="auto"/>
            </w:pPr>
            <w:r>
              <w:rPr>
                <w:rFonts w:ascii="Calibri" w:hAnsi="Calibri"/>
                <w:sz w:val="17"/>
              </w:rPr>
              <w:t>E01</w:t>
            </w:r>
          </w:p>
        </w:tc>
        <w:tc>
          <w:tcPr>
            <w:tcW w:type="dxa" w:w="4649"/>
            <w:vAlign w:val="center"/>
            <w:tcMar>
              <w:top w:w="75" w:type="dxa"/>
              <w:left w:w="75" w:type="dxa"/>
              <w:bottom w:w="75" w:type="dxa"/>
              <w:right w:w="75" w:type="dxa"/>
            </w:tcMar>
            <w:shd w:val="clear" w:color="auto" w:fill="FFFFFF"/>
          </w:tcPr>
          <w:p>
            <w:pPr>
              <w:spacing w:after="40" w:before="40" w:line="245" w:lineRule="auto"/>
            </w:pPr>
            <w:r>
              <w:rPr>
                <w:rFonts w:ascii="Calibri" w:hAnsi="Calibri"/>
                <w:sz w:val="17"/>
              </w:rPr>
              <w:t>00_Arbeitsvorbereitung/Glide_Entwicklungsplan.md</w:t>
            </w:r>
          </w:p>
        </w:tc>
        <w:tc>
          <w:tcPr>
            <w:tcW w:type="dxa" w:w="4309"/>
            <w:vAlign w:val="center"/>
            <w:tcMar>
              <w:top w:w="75" w:type="dxa"/>
              <w:left w:w="75" w:type="dxa"/>
              <w:bottom w:w="75" w:type="dxa"/>
              <w:right w:w="75" w:type="dxa"/>
            </w:tcMar>
            <w:shd w:val="clear" w:color="auto" w:fill="FFFFFF"/>
          </w:tcPr>
          <w:p>
            <w:pPr>
              <w:spacing w:after="40" w:before="40" w:line="245" w:lineRule="auto"/>
            </w:pPr>
            <w:r>
              <w:rPr>
                <w:rFonts w:ascii="Calibri" w:hAnsi="Calibri"/>
                <w:sz w:val="17"/>
              </w:rPr>
              <w:t>§§15.7,17,18,19,21.1–21.28; Kennungen/Scope/Status</w:t>
            </w:r>
          </w:p>
        </w:tc>
      </w:tr>
      <w:tr>
        <w:trPr>
          <w:cantSplit/>
        </w:trPr>
        <w:tc>
          <w:tcPr>
            <w:tcW w:type="dxa" w:w="680"/>
            <w:vAlign w:val="center"/>
            <w:tcMar>
              <w:top w:w="75" w:type="dxa"/>
              <w:left w:w="75" w:type="dxa"/>
              <w:bottom w:w="75" w:type="dxa"/>
              <w:right w:w="75" w:type="dxa"/>
            </w:tcMar>
            <w:shd w:val="clear" w:color="auto" w:fill="F2F5F7"/>
          </w:tcPr>
          <w:p>
            <w:pPr>
              <w:spacing w:after="40" w:before="40" w:line="245" w:lineRule="auto"/>
            </w:pPr>
            <w:r>
              <w:rPr>
                <w:rFonts w:ascii="Calibri" w:hAnsi="Calibri"/>
                <w:sz w:val="17"/>
              </w:rPr>
              <w:t>E02</w:t>
            </w:r>
          </w:p>
        </w:tc>
        <w:tc>
          <w:tcPr>
            <w:tcW w:type="dxa" w:w="4649"/>
            <w:vAlign w:val="center"/>
            <w:tcMar>
              <w:top w:w="75" w:type="dxa"/>
              <w:left w:w="75" w:type="dxa"/>
              <w:bottom w:w="75" w:type="dxa"/>
              <w:right w:w="75" w:type="dxa"/>
            </w:tcMar>
            <w:shd w:val="clear" w:color="auto" w:fill="F2F5F7"/>
          </w:tcPr>
          <w:p>
            <w:pPr>
              <w:spacing w:after="40" w:before="40" w:line="245" w:lineRule="auto"/>
            </w:pPr>
            <w:r>
              <w:rPr>
                <w:rFonts w:ascii="Calibri" w:hAnsi="Calibri"/>
                <w:sz w:val="17"/>
              </w:rPr>
              <w:t>01_Repository/Glide/docs/20_FUNKTIONEN.md</w:t>
            </w:r>
          </w:p>
        </w:tc>
        <w:tc>
          <w:tcPr>
            <w:tcW w:type="dxa" w:w="4309"/>
            <w:vAlign w:val="center"/>
            <w:tcMar>
              <w:top w:w="75" w:type="dxa"/>
              <w:left w:w="75" w:type="dxa"/>
              <w:bottom w:w="75" w:type="dxa"/>
              <w:right w:w="75" w:type="dxa"/>
            </w:tcMar>
            <w:shd w:val="clear" w:color="auto" w:fill="F2F5F7"/>
          </w:tcPr>
          <w:p>
            <w:pPr>
              <w:spacing w:after="40" w:before="40" w:line="245" w:lineRule="auto"/>
            </w:pPr>
            <w:r>
              <w:rPr>
                <w:rFonts w:ascii="Calibri" w:hAnsi="Calibri"/>
                <w:sz w:val="17"/>
              </w:rPr>
              <w:t>Verhalten der bestehenden und neuen Funktionen</w:t>
            </w:r>
          </w:p>
        </w:tc>
      </w:tr>
      <w:tr>
        <w:trPr>
          <w:cantSplit/>
        </w:trPr>
        <w:tc>
          <w:tcPr>
            <w:tcW w:type="dxa" w:w="680"/>
            <w:vAlign w:val="center"/>
            <w:tcMar>
              <w:top w:w="75" w:type="dxa"/>
              <w:left w:w="75" w:type="dxa"/>
              <w:bottom w:w="75" w:type="dxa"/>
              <w:right w:w="75" w:type="dxa"/>
            </w:tcMar>
            <w:shd w:val="clear" w:color="auto" w:fill="FFFFFF"/>
          </w:tcPr>
          <w:p>
            <w:pPr>
              <w:spacing w:after="40" w:before="40" w:line="245" w:lineRule="auto"/>
            </w:pPr>
            <w:r>
              <w:rPr>
                <w:rFonts w:ascii="Calibri" w:hAnsi="Calibri"/>
                <w:sz w:val="17"/>
              </w:rPr>
              <w:t>E03</w:t>
            </w:r>
          </w:p>
        </w:tc>
        <w:tc>
          <w:tcPr>
            <w:tcW w:type="dxa" w:w="4649"/>
            <w:vAlign w:val="center"/>
            <w:tcMar>
              <w:top w:w="75" w:type="dxa"/>
              <w:left w:w="75" w:type="dxa"/>
              <w:bottom w:w="75" w:type="dxa"/>
              <w:right w:w="75" w:type="dxa"/>
            </w:tcMar>
            <w:shd w:val="clear" w:color="auto" w:fill="FFFFFF"/>
          </w:tcPr>
          <w:p>
            <w:pPr>
              <w:spacing w:after="40" w:before="40" w:line="245" w:lineRule="auto"/>
            </w:pPr>
            <w:r>
              <w:rPr>
                <w:rFonts w:ascii="Calibri" w:hAnsi="Calibri"/>
                <w:sz w:val="17"/>
              </w:rPr>
              <w:t>01_Repository/Glide/docs/07_QA_BERICHT.md</w:t>
            </w:r>
          </w:p>
        </w:tc>
        <w:tc>
          <w:tcPr>
            <w:tcW w:type="dxa" w:w="4309"/>
            <w:vAlign w:val="center"/>
            <w:tcMar>
              <w:top w:w="75" w:type="dxa"/>
              <w:left w:w="75" w:type="dxa"/>
              <w:bottom w:w="75" w:type="dxa"/>
              <w:right w:w="75" w:type="dxa"/>
            </w:tcMar>
            <w:shd w:val="clear" w:color="auto" w:fill="FFFFFF"/>
          </w:tcPr>
          <w:p>
            <w:pPr>
              <w:spacing w:after="40" w:before="40" w:line="245" w:lineRule="auto"/>
            </w:pPr>
            <w:r>
              <w:rPr>
                <w:rFonts w:ascii="Calibri" w:hAnsi="Calibri"/>
                <w:sz w:val="17"/>
              </w:rPr>
              <w:t>Datierte Prüf-/Liefergrenzen, WA-41</w:t>
            </w:r>
          </w:p>
        </w:tc>
      </w:tr>
      <w:tr>
        <w:trPr>
          <w:cantSplit/>
        </w:trPr>
        <w:tc>
          <w:tcPr>
            <w:tcW w:type="dxa" w:w="680"/>
            <w:vAlign w:val="center"/>
            <w:tcMar>
              <w:top w:w="75" w:type="dxa"/>
              <w:left w:w="75" w:type="dxa"/>
              <w:bottom w:w="75" w:type="dxa"/>
              <w:right w:w="75" w:type="dxa"/>
            </w:tcMar>
            <w:shd w:val="clear" w:color="auto" w:fill="F2F5F7"/>
          </w:tcPr>
          <w:p>
            <w:pPr>
              <w:spacing w:after="40" w:before="40" w:line="245" w:lineRule="auto"/>
            </w:pPr>
            <w:r>
              <w:rPr>
                <w:rFonts w:ascii="Calibri" w:hAnsi="Calibri"/>
                <w:sz w:val="17"/>
              </w:rPr>
              <w:t>E04</w:t>
            </w:r>
          </w:p>
        </w:tc>
        <w:tc>
          <w:tcPr>
            <w:tcW w:type="dxa" w:w="4649"/>
            <w:vAlign w:val="center"/>
            <w:tcMar>
              <w:top w:w="75" w:type="dxa"/>
              <w:left w:w="75" w:type="dxa"/>
              <w:bottom w:w="75" w:type="dxa"/>
              <w:right w:w="75" w:type="dxa"/>
            </w:tcMar>
            <w:shd w:val="clear" w:color="auto" w:fill="F2F5F7"/>
          </w:tcPr>
          <w:p>
            <w:pPr>
              <w:spacing w:after="40" w:before="40" w:line="245" w:lineRule="auto"/>
            </w:pPr>
            <w:r>
              <w:rPr>
                <w:rFonts w:ascii="Calibri" w:hAnsi="Calibri"/>
                <w:sz w:val="17"/>
              </w:rPr>
              <w:t>00_Arbeitsvorbereitung/Glide_Manuelle_Pruefung.md</w:t>
            </w:r>
          </w:p>
        </w:tc>
        <w:tc>
          <w:tcPr>
            <w:tcW w:type="dxa" w:w="4309"/>
            <w:vAlign w:val="center"/>
            <w:tcMar>
              <w:top w:w="75" w:type="dxa"/>
              <w:left w:w="75" w:type="dxa"/>
              <w:bottom w:w="75" w:type="dxa"/>
              <w:right w:w="75" w:type="dxa"/>
            </w:tcMar>
            <w:shd w:val="clear" w:color="auto" w:fill="F2F5F7"/>
          </w:tcPr>
          <w:p>
            <w:pPr>
              <w:spacing w:after="40" w:before="40" w:line="245" w:lineRule="auto"/>
            </w:pPr>
            <w:r>
              <w:rPr>
                <w:rFonts w:ascii="Calibri" w:hAnsi="Calibri"/>
                <w:sz w:val="17"/>
              </w:rPr>
              <w:t>Offene Menschenabnahme und vier Windows-Teilbestätigungen</w:t>
            </w:r>
          </w:p>
        </w:tc>
      </w:tr>
      <w:tr>
        <w:trPr>
          <w:cantSplit/>
        </w:trPr>
        <w:tc>
          <w:tcPr>
            <w:tcW w:type="dxa" w:w="680"/>
            <w:vAlign w:val="center"/>
            <w:tcMar>
              <w:top w:w="75" w:type="dxa"/>
              <w:left w:w="75" w:type="dxa"/>
              <w:bottom w:w="75" w:type="dxa"/>
              <w:right w:w="75" w:type="dxa"/>
            </w:tcMar>
            <w:shd w:val="clear" w:color="auto" w:fill="FFFFFF"/>
          </w:tcPr>
          <w:p>
            <w:pPr>
              <w:spacing w:after="40" w:before="40" w:line="245" w:lineRule="auto"/>
            </w:pPr>
            <w:r>
              <w:rPr>
                <w:rFonts w:ascii="Calibri" w:hAnsi="Calibri"/>
                <w:sz w:val="17"/>
              </w:rPr>
              <w:t>E05</w:t>
            </w:r>
          </w:p>
        </w:tc>
        <w:tc>
          <w:tcPr>
            <w:tcW w:type="dxa" w:w="4649"/>
            <w:vAlign w:val="center"/>
            <w:tcMar>
              <w:top w:w="75" w:type="dxa"/>
              <w:left w:w="75" w:type="dxa"/>
              <w:bottom w:w="75" w:type="dxa"/>
              <w:right w:w="75" w:type="dxa"/>
            </w:tcMar>
            <w:shd w:val="clear" w:color="auto" w:fill="FFFFFF"/>
          </w:tcPr>
          <w:p>
            <w:pPr>
              <w:spacing w:after="40" w:before="40" w:line="245" w:lineRule="auto"/>
            </w:pPr>
            <w:r>
              <w:rPr>
                <w:rFonts w:ascii="Calibri" w:hAnsi="Calibri"/>
                <w:sz w:val="17"/>
              </w:rPr>
              <w:t>lieferstand.json</w:t>
            </w:r>
          </w:p>
        </w:tc>
        <w:tc>
          <w:tcPr>
            <w:tcW w:type="dxa" w:w="4309"/>
            <w:vAlign w:val="center"/>
            <w:tcMar>
              <w:top w:w="75" w:type="dxa"/>
              <w:left w:w="75" w:type="dxa"/>
              <w:bottom w:w="75" w:type="dxa"/>
              <w:right w:w="75" w:type="dxa"/>
            </w:tcMar>
            <w:shd w:val="clear" w:color="auto" w:fill="FFFFFF"/>
          </w:tcPr>
          <w:p>
            <w:pPr>
              <w:spacing w:after="40" w:before="40" w:line="245" w:lineRule="auto"/>
            </w:pPr>
            <w:r>
              <w:rPr>
                <w:rFonts w:ascii="Calibri" w:hAnsi="Calibri"/>
                <w:sz w:val="17"/>
              </w:rPr>
              <w:t>Neu gelesene Versionen/Metadaten und Archivhashvergleich</w:t>
            </w:r>
          </w:p>
        </w:tc>
      </w:tr>
      <w:tr>
        <w:trPr>
          <w:cantSplit/>
        </w:trPr>
        <w:tc>
          <w:tcPr>
            <w:tcW w:type="dxa" w:w="680"/>
            <w:vAlign w:val="center"/>
            <w:tcMar>
              <w:top w:w="75" w:type="dxa"/>
              <w:left w:w="75" w:type="dxa"/>
              <w:bottom w:w="75" w:type="dxa"/>
              <w:right w:w="75" w:type="dxa"/>
            </w:tcMar>
            <w:shd w:val="clear" w:color="auto" w:fill="F2F5F7"/>
          </w:tcPr>
          <w:p>
            <w:pPr>
              <w:spacing w:after="40" w:before="40" w:line="245" w:lineRule="auto"/>
            </w:pPr>
            <w:r>
              <w:rPr>
                <w:rFonts w:ascii="Calibri" w:hAnsi="Calibri"/>
                <w:sz w:val="17"/>
              </w:rPr>
              <w:t>E06</w:t>
            </w:r>
          </w:p>
        </w:tc>
        <w:tc>
          <w:tcPr>
            <w:tcW w:type="dxa" w:w="4649"/>
            <w:vAlign w:val="center"/>
            <w:tcMar>
              <w:top w:w="75" w:type="dxa"/>
              <w:left w:w="75" w:type="dxa"/>
              <w:bottom w:w="75" w:type="dxa"/>
              <w:right w:w="75" w:type="dxa"/>
            </w:tcMar>
            <w:shd w:val="clear" w:color="auto" w:fill="F2F5F7"/>
          </w:tcPr>
          <w:p>
            <w:pPr>
              <w:spacing w:after="40" w:before="40" w:line="245" w:lineRule="auto"/>
            </w:pPr>
            <w:r>
              <w:rPr>
                <w:rFonts w:ascii="Calibri" w:hAnsi="Calibri"/>
                <w:sz w:val="17"/>
              </w:rPr>
              <w:t>lauf_CI-Grundstufe.json und testzaehlung.json</w:t>
            </w:r>
          </w:p>
        </w:tc>
        <w:tc>
          <w:tcPr>
            <w:tcW w:type="dxa" w:w="4309"/>
            <w:vAlign w:val="center"/>
            <w:tcMar>
              <w:top w:w="75" w:type="dxa"/>
              <w:left w:w="75" w:type="dxa"/>
              <w:bottom w:w="75" w:type="dxa"/>
              <w:right w:w="75" w:type="dxa"/>
            </w:tcMar>
            <w:shd w:val="clear" w:color="auto" w:fill="F2F5F7"/>
          </w:tcPr>
          <w:p>
            <w:pPr>
              <w:spacing w:after="40" w:before="40" w:line="245" w:lineRule="auto"/>
            </w:pPr>
            <w:r>
              <w:rPr>
                <w:rFonts w:ascii="Calibri" w:hAnsi="Calibri"/>
                <w:sz w:val="17"/>
              </w:rPr>
              <w:t>Neuer vollständiger Grundstufenlauf auf eingefrorener Quelle</w:t>
            </w:r>
          </w:p>
        </w:tc>
      </w:tr>
      <w:tr>
        <w:trPr>
          <w:cantSplit/>
        </w:trPr>
        <w:tc>
          <w:tcPr>
            <w:tcW w:type="dxa" w:w="680"/>
            <w:vAlign w:val="center"/>
            <w:tcMar>
              <w:top w:w="75" w:type="dxa"/>
              <w:left w:w="75" w:type="dxa"/>
              <w:bottom w:w="75" w:type="dxa"/>
              <w:right w:w="75" w:type="dxa"/>
            </w:tcMar>
            <w:shd w:val="clear" w:color="auto" w:fill="FFFFFF"/>
          </w:tcPr>
          <w:p>
            <w:pPr>
              <w:spacing w:after="40" w:before="40" w:line="245" w:lineRule="auto"/>
            </w:pPr>
            <w:r>
              <w:rPr>
                <w:rFonts w:ascii="Calibri" w:hAnsi="Calibri"/>
                <w:sz w:val="17"/>
              </w:rPr>
              <w:t>E07</w:t>
            </w:r>
          </w:p>
        </w:tc>
        <w:tc>
          <w:tcPr>
            <w:tcW w:type="dxa" w:w="4649"/>
            <w:vAlign w:val="center"/>
            <w:tcMar>
              <w:top w:w="75" w:type="dxa"/>
              <w:left w:w="75" w:type="dxa"/>
              <w:bottom w:w="75" w:type="dxa"/>
              <w:right w:w="75" w:type="dxa"/>
            </w:tcMar>
            <w:shd w:val="clear" w:color="auto" w:fill="FFFFFF"/>
          </w:tcPr>
          <w:p>
            <w:pPr>
              <w:spacing w:after="40" w:before="40" w:line="245" w:lineRule="auto"/>
            </w:pPr>
            <w:r>
              <w:rPr>
                <w:rFonts w:ascii="Calibri" w:hAnsi="Calibri"/>
                <w:sz w:val="17"/>
              </w:rPr>
              <w:t>lauf_wiederholen.json und testergebnis.json</w:t>
            </w:r>
          </w:p>
        </w:tc>
        <w:tc>
          <w:tcPr>
            <w:tcW w:type="dxa" w:w="4309"/>
            <w:vAlign w:val="center"/>
            <w:tcMar>
              <w:top w:w="75" w:type="dxa"/>
              <w:left w:w="75" w:type="dxa"/>
              <w:bottom w:w="75" w:type="dxa"/>
              <w:right w:w="75" w:type="dxa"/>
            </w:tcMar>
            <w:shd w:val="clear" w:color="auto" w:fill="FFFFFF"/>
          </w:tcPr>
          <w:p>
            <w:pPr>
              <w:spacing w:after="40" w:before="40" w:line="245" w:lineRule="auto"/>
            </w:pPr>
            <w:r>
              <w:rPr>
                <w:rFonts w:ascii="Calibri" w:hAnsi="Calibri"/>
                <w:sz w:val="17"/>
              </w:rPr>
              <w:t>Originaler roter Pflichtfall; gestoppte Folge</w:t>
            </w:r>
          </w:p>
        </w:tc>
      </w:tr>
      <w:tr>
        <w:trPr>
          <w:cantSplit/>
        </w:trPr>
        <w:tc>
          <w:tcPr>
            <w:tcW w:type="dxa" w:w="680"/>
            <w:vAlign w:val="center"/>
            <w:tcMar>
              <w:top w:w="75" w:type="dxa"/>
              <w:left w:w="75" w:type="dxa"/>
              <w:bottom w:w="75" w:type="dxa"/>
              <w:right w:w="75" w:type="dxa"/>
            </w:tcMar>
            <w:shd w:val="clear" w:color="auto" w:fill="F2F5F7"/>
          </w:tcPr>
          <w:p>
            <w:pPr>
              <w:spacing w:after="40" w:before="40" w:line="245" w:lineRule="auto"/>
            </w:pPr>
            <w:r>
              <w:rPr>
                <w:rFonts w:ascii="Calibri" w:hAnsi="Calibri"/>
                <w:sz w:val="17"/>
              </w:rPr>
              <w:t>E08</w:t>
            </w:r>
          </w:p>
        </w:tc>
        <w:tc>
          <w:tcPr>
            <w:tcW w:type="dxa" w:w="4649"/>
            <w:vAlign w:val="center"/>
            <w:tcMar>
              <w:top w:w="75" w:type="dxa"/>
              <w:left w:w="75" w:type="dxa"/>
              <w:bottom w:w="75" w:type="dxa"/>
              <w:right w:w="75" w:type="dxa"/>
            </w:tcMar>
            <w:shd w:val="clear" w:color="auto" w:fill="F2F5F7"/>
          </w:tcPr>
          <w:p>
            <w:pPr>
              <w:spacing w:after="40" w:before="40" w:line="245" w:lineRule="auto"/>
            </w:pPr>
            <w:r>
              <w:rPr>
                <w:rFonts w:ascii="Calibri" w:hAnsi="Calibri"/>
                <w:sz w:val="17"/>
              </w:rPr>
              <w:t>diagnose_wiederholen.json</w:t>
            </w:r>
          </w:p>
        </w:tc>
        <w:tc>
          <w:tcPr>
            <w:tcW w:type="dxa" w:w="4309"/>
            <w:vAlign w:val="center"/>
            <w:tcMar>
              <w:top w:w="75" w:type="dxa"/>
              <w:left w:w="75" w:type="dxa"/>
              <w:bottom w:w="75" w:type="dxa"/>
              <w:right w:w="75" w:type="dxa"/>
            </w:tcMar>
            <w:shd w:val="clear" w:color="auto" w:fill="F2F5F7"/>
          </w:tcPr>
          <w:p>
            <w:pPr>
              <w:spacing w:after="40" w:before="40" w:line="245" w:lineRule="auto"/>
            </w:pPr>
            <w:r>
              <w:rPr>
                <w:rFonts w:ascii="Calibri" w:hAnsi="Calibri"/>
                <w:sz w:val="17"/>
              </w:rPr>
              <w:t>Reproduktion und isolierte Lifecyclevariation ohne Quell-/Assertionsänderung</w:t>
            </w:r>
          </w:p>
        </w:tc>
      </w:tr>
      <w:tr>
        <w:trPr>
          <w:cantSplit/>
        </w:trPr>
        <w:tc>
          <w:tcPr>
            <w:tcW w:type="dxa" w:w="680"/>
            <w:vAlign w:val="center"/>
            <w:tcMar>
              <w:top w:w="75" w:type="dxa"/>
              <w:left w:w="75" w:type="dxa"/>
              <w:bottom w:w="75" w:type="dxa"/>
              <w:right w:w="75" w:type="dxa"/>
            </w:tcMar>
            <w:shd w:val="clear" w:color="auto" w:fill="FFFFFF"/>
          </w:tcPr>
          <w:p>
            <w:pPr>
              <w:spacing w:after="40" w:before="40" w:line="245" w:lineRule="auto"/>
            </w:pPr>
            <w:r>
              <w:rPr>
                <w:rFonts w:ascii="Calibri" w:hAnsi="Calibri"/>
                <w:sz w:val="17"/>
              </w:rPr>
              <w:t>E09</w:t>
            </w:r>
          </w:p>
        </w:tc>
        <w:tc>
          <w:tcPr>
            <w:tcW w:type="dxa" w:w="4649"/>
            <w:vAlign w:val="center"/>
            <w:tcMar>
              <w:top w:w="75" w:type="dxa"/>
              <w:left w:w="75" w:type="dxa"/>
              <w:bottom w:w="75" w:type="dxa"/>
              <w:right w:w="75" w:type="dxa"/>
            </w:tcMar>
            <w:shd w:val="clear" w:color="auto" w:fill="FFFFFF"/>
          </w:tcPr>
          <w:p>
            <w:pPr>
              <w:spacing w:after="40" w:before="40" w:line="245" w:lineRule="auto"/>
            </w:pPr>
            <w:r>
              <w:rPr>
                <w:rFonts w:ascii="Calibri" w:hAnsi="Calibri"/>
                <w:sz w:val="17"/>
              </w:rPr>
              <w:t>../funktionspakete_2026-10-28/ergebnis.json</w:t>
            </w:r>
          </w:p>
        </w:tc>
        <w:tc>
          <w:tcPr>
            <w:tcW w:type="dxa" w:w="4309"/>
            <w:vAlign w:val="center"/>
            <w:tcMar>
              <w:top w:w="75" w:type="dxa"/>
              <w:left w:w="75" w:type="dxa"/>
              <w:bottom w:w="75" w:type="dxa"/>
              <w:right w:w="75" w:type="dxa"/>
            </w:tcMar>
            <w:shd w:val="clear" w:color="auto" w:fill="FFFFFF"/>
          </w:tcPr>
          <w:p>
            <w:pPr>
              <w:spacing w:after="40" w:before="40" w:line="245" w:lineRule="auto"/>
            </w:pPr>
            <w:r>
              <w:rPr>
                <w:rFonts w:ascii="Calibri" w:hAnsi="Calibri"/>
                <w:sz w:val="17"/>
              </w:rPr>
              <w:t>Gezielte D57-Bedienbelege; Apphash aktuell identisch</w:t>
            </w:r>
          </w:p>
        </w:tc>
      </w:tr>
      <w:tr>
        <w:trPr>
          <w:cantSplit/>
        </w:trPr>
        <w:tc>
          <w:tcPr>
            <w:tcW w:type="dxa" w:w="680"/>
            <w:vAlign w:val="center"/>
            <w:tcMar>
              <w:top w:w="75" w:type="dxa"/>
              <w:left w:w="75" w:type="dxa"/>
              <w:bottom w:w="75" w:type="dxa"/>
              <w:right w:w="75" w:type="dxa"/>
            </w:tcMar>
            <w:shd w:val="clear" w:color="auto" w:fill="F2F5F7"/>
          </w:tcPr>
          <w:p>
            <w:pPr>
              <w:spacing w:after="40" w:before="40" w:line="245" w:lineRule="auto"/>
            </w:pPr>
            <w:r>
              <w:rPr>
                <w:rFonts w:ascii="Calibri" w:hAnsi="Calibri"/>
                <w:sz w:val="17"/>
              </w:rPr>
              <w:t>E10</w:t>
            </w:r>
          </w:p>
        </w:tc>
        <w:tc>
          <w:tcPr>
            <w:tcW w:type="dxa" w:w="4649"/>
            <w:vAlign w:val="center"/>
            <w:tcMar>
              <w:top w:w="75" w:type="dxa"/>
              <w:left w:w="75" w:type="dxa"/>
              <w:bottom w:w="75" w:type="dxa"/>
              <w:right w:w="75" w:type="dxa"/>
            </w:tcMar>
            <w:shd w:val="clear" w:color="auto" w:fill="F2F5F7"/>
          </w:tcPr>
          <w:p>
            <w:pPr>
              <w:spacing w:after="40" w:before="40" w:line="245" w:lineRule="auto"/>
            </w:pPr>
            <w:r>
              <w:rPr>
                <w:rFonts w:ascii="Calibri" w:hAnsi="Calibri"/>
                <w:sz w:val="17"/>
              </w:rPr>
              <w:t>../robustheit_2026-10-28/README.md</w:t>
            </w:r>
          </w:p>
        </w:tc>
        <w:tc>
          <w:tcPr>
            <w:tcW w:type="dxa" w:w="4309"/>
            <w:vAlign w:val="center"/>
            <w:tcMar>
              <w:top w:w="75" w:type="dxa"/>
              <w:left w:w="75" w:type="dxa"/>
              <w:bottom w:w="75" w:type="dxa"/>
              <w:right w:w="75" w:type="dxa"/>
            </w:tcMar>
            <w:shd w:val="clear" w:color="auto" w:fill="F2F5F7"/>
          </w:tcPr>
          <w:p>
            <w:pPr>
              <w:spacing w:after="40" w:before="40" w:line="245" w:lineRule="auto"/>
            </w:pPr>
            <w:r>
              <w:rPr>
                <w:rFonts w:ascii="Calibri" w:hAnsi="Calibri"/>
                <w:sz w:val="17"/>
              </w:rPr>
              <w:t>Historische Schutz-/Restore-/Diagnosebelege, eigene Grenzen</w:t>
            </w:r>
          </w:p>
        </w:tc>
      </w:tr>
      <w:tr>
        <w:trPr>
          <w:cantSplit/>
        </w:trPr>
        <w:tc>
          <w:tcPr>
            <w:tcW w:type="dxa" w:w="680"/>
            <w:vAlign w:val="center"/>
            <w:tcMar>
              <w:top w:w="75" w:type="dxa"/>
              <w:left w:w="75" w:type="dxa"/>
              <w:bottom w:w="75" w:type="dxa"/>
              <w:right w:w="75" w:type="dxa"/>
            </w:tcMar>
            <w:shd w:val="clear" w:color="auto" w:fill="FFFFFF"/>
          </w:tcPr>
          <w:p>
            <w:pPr>
              <w:spacing w:after="40" w:before="40" w:line="245" w:lineRule="auto"/>
            </w:pPr>
            <w:r>
              <w:rPr>
                <w:rFonts w:ascii="Calibri" w:hAnsi="Calibri"/>
                <w:sz w:val="17"/>
              </w:rPr>
              <w:t>E11</w:t>
            </w:r>
          </w:p>
        </w:tc>
        <w:tc>
          <w:tcPr>
            <w:tcW w:type="dxa" w:w="4649"/>
            <w:vAlign w:val="center"/>
            <w:tcMar>
              <w:top w:w="75" w:type="dxa"/>
              <w:left w:w="75" w:type="dxa"/>
              <w:bottom w:w="75" w:type="dxa"/>
              <w:right w:w="75" w:type="dxa"/>
            </w:tcMar>
            <w:shd w:val="clear" w:color="auto" w:fill="FFFFFF"/>
          </w:tcPr>
          <w:p>
            <w:pPr>
              <w:spacing w:after="40" w:before="40" w:line="245" w:lineRule="auto"/>
            </w:pPr>
            <w:r>
              <w:rPr>
                <w:rFonts w:ascii="Calibri" w:hAnsi="Calibri"/>
                <w:sz w:val="17"/>
              </w:rPr>
              <w:t>codeinventar.json, planregister.json, paketmatrix.json</w:t>
            </w:r>
          </w:p>
        </w:tc>
        <w:tc>
          <w:tcPr>
            <w:tcW w:type="dxa" w:w="4309"/>
            <w:vAlign w:val="center"/>
            <w:tcMar>
              <w:top w:w="75" w:type="dxa"/>
              <w:left w:w="75" w:type="dxa"/>
              <w:bottom w:w="75" w:type="dxa"/>
              <w:right w:w="75" w:type="dxa"/>
            </w:tcMar>
            <w:shd w:val="clear" w:color="auto" w:fill="FFFFFF"/>
          </w:tcPr>
          <w:p>
            <w:pPr>
              <w:spacing w:after="40" w:before="40" w:line="245" w:lineRule="auto"/>
            </w:pPr>
            <w:r>
              <w:rPr>
                <w:rFonts w:ascii="Calibri" w:hAnsi="Calibri"/>
                <w:sz w:val="17"/>
              </w:rPr>
              <w:t>Modul-/Einstiegsbelege, Statusauszug und bewertete Abnahmeeinheiten</w:t>
            </w:r>
          </w:p>
        </w:tc>
      </w:tr>
      <w:tr>
        <w:trPr>
          <w:cantSplit/>
        </w:trPr>
        <w:tc>
          <w:tcPr>
            <w:tcW w:type="dxa" w:w="680"/>
            <w:vAlign w:val="center"/>
            <w:tcMar>
              <w:top w:w="75" w:type="dxa"/>
              <w:left w:w="75" w:type="dxa"/>
              <w:bottom w:w="75" w:type="dxa"/>
              <w:right w:w="75" w:type="dxa"/>
            </w:tcMar>
            <w:shd w:val="clear" w:color="auto" w:fill="F2F5F7"/>
          </w:tcPr>
          <w:p>
            <w:pPr>
              <w:spacing w:after="40" w:before="40" w:line="245" w:lineRule="auto"/>
            </w:pPr>
            <w:r>
              <w:rPr>
                <w:rFonts w:ascii="Calibri" w:hAnsi="Calibri"/>
                <w:sz w:val="17"/>
              </w:rPr>
              <w:t>E12</w:t>
            </w:r>
          </w:p>
        </w:tc>
        <w:tc>
          <w:tcPr>
            <w:tcW w:type="dxa" w:w="4649"/>
            <w:vAlign w:val="center"/>
            <w:tcMar>
              <w:top w:w="75" w:type="dxa"/>
              <w:left w:w="75" w:type="dxa"/>
              <w:bottom w:w="75" w:type="dxa"/>
              <w:right w:w="75" w:type="dxa"/>
            </w:tcMar>
            <w:shd w:val="clear" w:color="auto" w:fill="F2F5F7"/>
          </w:tcPr>
          <w:p>
            <w:pPr>
              <w:spacing w:after="40" w:before="40" w:line="245" w:lineRule="auto"/>
            </w:pPr>
            <w:r>
              <w:rPr>
                <w:rFonts w:ascii="Calibri" w:hAnsi="Calibri"/>
                <w:sz w:val="17"/>
              </w:rPr>
              <w:t>eingefroren.json und testergebnis.json</w:t>
            </w:r>
          </w:p>
        </w:tc>
        <w:tc>
          <w:tcPr>
            <w:tcW w:type="dxa" w:w="4309"/>
            <w:vAlign w:val="center"/>
            <w:tcMar>
              <w:top w:w="75" w:type="dxa"/>
              <w:left w:w="75" w:type="dxa"/>
              <w:bottom w:w="75" w:type="dxa"/>
              <w:right w:w="75" w:type="dxa"/>
            </w:tcMar>
            <w:shd w:val="clear" w:color="auto" w:fill="F2F5F7"/>
          </w:tcPr>
          <w:p>
            <w:pPr>
              <w:spacing w:after="40" w:before="40" w:line="245" w:lineRule="auto"/>
            </w:pPr>
            <w:r>
              <w:rPr>
                <w:rFonts w:ascii="Calibri" w:hAnsi="Calibri"/>
                <w:sz w:val="17"/>
              </w:rPr>
              <w:t>Quellhashes, Laufzeit, Unverändertheit und lokale Rohlogorte</w:t>
            </w:r>
          </w:p>
        </w:tc>
      </w:tr>
    </w:tbl>
    <w:p>
      <w:pPr>
        <w:spacing w:after="40"/>
      </w:pPr>
    </w:p>
    <w:p>
      <w:r>
        <w:rPr>
          <w:b w:val="0"/>
        </w:rPr>
        <w:t>E05–E12 liegen, soweit kein anderer relativer Pfad genannt ist, neben diesem Bericht. Die JSON-Dateien enthalten die detaillierten maschinellen Belege. Rohlogs und künstliche Prüfdaten bleiben in der im Manifest benannten lokalen Ablage. Kein Bericht führt eine menschliche Unterschrift oder einen aktuellen GitHub-/Merge-/Releaseentscheid herbei.</w:t>
      </w:r>
    </w:p>
    <w:p>
      <w:r>
        <w:rPr>
          <w:b/>
        </w:rPr>
        <w:t>Maßgeblicher App-SHA-256:</w:t>
      </w:r>
    </w:p>
    <w:p>
      <w:r>
        <w:rPr>
          <w:rFonts w:ascii="Consolas" w:hAnsi="Consolas"/>
          <w:b w:val="0"/>
          <w:sz w:val="17"/>
        </w:rPr>
        <w:t>5e93aeff9373727b90bc1d57bc280b149f62ffdc41ea055fe4b534776f79e74a</w:t>
      </w:r>
    </w:p>
    <w:p>
      <w:r>
        <w:rPr>
          <w:b w:val="0"/>
        </w:rPr>
        <w:t>Letzter lokaler Commit: 2b1ee0fedc32acb3ae1feff26d8848c26a457be6 (3.47.0-Basis). Der aktuelle 3.49.0-Arbeitsstand ist uncommittet; ein Checkout allein dieses Commits ist nicht der geprüfte Kandidat.</w:t>
      </w:r>
    </w:p>
    <w:p>
      <w:r>
        <w:rPr>
          <w:b w:val="0"/>
        </w:rPr>
        <w:t>Strukturinventar: 66.379 Zeilen in app.pyw und 1.793 direkte ListApp-Methoden; 89 .py-Dateien direkt im Modulordner einschließlich Startmodul und Zeichenprototyp. app.pyw zusätzlich. Diese Größenwerte belegen den Wartungsumfang. keinen konkreten Laufzeitfehler.</w:t>
      </w:r>
    </w:p>
    <w:p>
      <w:r>
        <w:rPr>
          <w:b w:val="0"/>
        </w:rPr>
        <w:t>Anwendungscode, Nutzerdaten und Lieferartefakte wurden durch dieses Audit nicht verändert. Keine neue Appversion, keine Hardwareänderung, kein Commit/Push, kein Paketbau und keine Releasefreigabe. Die Prüfung ist ein technischer Abnahmebericht mit offen ausgewiesenen Grenzen, kein vollständiger Zeilen-/Sicherheitsaudit der gesamten Codebasis.</w:t>
      </w:r>
    </w:p>
    <w:sectPr w:rsidR="00FC693F" w:rsidRPr="0006063C" w:rsidSect="00034616">
      <w:headerReference w:type="default" r:id="rId9"/>
      <w:footerReference w:type="default" r:id="rId10"/>
      <w:pgSz w:w="11906" w:h="16838"/>
      <w:pgMar w:top="992" w:right="1134" w:bottom="992" w:left="113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Stand 3.49.0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000000"/>
        <w:sz w:val="16"/>
      </w:rPr>
      <w:t>GLIDE  |  Prüfbericht zur Arbeitsabnahme  |  28.10.2026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Calibri" w:hAnsi="Calibri"/>
      <w:b/>
      <w:bCs/>
      <w:color w:val="000000"/>
      <w:sz w:val="32"/>
      <w:szCs w:val="28"/>
      <w:u w:val="none"/>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Calibri" w:hAnsi="Calibri"/>
      <w:b/>
      <w:bCs/>
      <w:color w:val="000000"/>
      <w:sz w:val="24"/>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color w:val="000000"/>
      <w:spacing w:val="5"/>
      <w:kern w:val="28"/>
      <w:sz w:val="4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Calibri" w:hAnsi="Calibri"/>
      <w:i/>
      <w:iCs/>
      <w:color w:val="000000"/>
      <w:spacing w:val="15"/>
      <w:sz w:val="22"/>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Calibri" w:hAnsi="Calibri"/>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Glide Prüfbericht zur Abnahme der begonnenen Arbeiten</dc:title>
  <dc:subject>Stand 3.49.0 vom 28.10.2026 mit getrennten Prüf und Liefergrenzen</dc:subject>
  <dc:creator>Glide Projektprüfung</dc:creator>
  <cp:keywords>Abnahme, Prüfkandidat, 3.49.0, WA-41, offene Arbeiten</cp:keywords>
  <dc:description>generated by python-docx</dc:description>
  <cp:lastModifiedBy>Glide Projektprüfung</cp:lastModifiedBy>
  <cp:revision>1</cp:revision>
  <dcterms:created xsi:type="dcterms:W3CDTF">2026-10-29T00:36:00Z</dcterms:created>
  <dcterms:modified xsi:type="dcterms:W3CDTF">2026-10-29T00:36:00Z</dcterms:modified>
  <cp:category/>
</cp:coreProperties>
</file>