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C04A2B"/>
          <w:sz w:val="16"/>
        </w:rPr>
        <w:t>FOR BOARD, RISK COMMITTEE, AND CYBER EXECUTIVE LEADERSHIP</w:t>
      </w:r>
    </w:p>
    <w:p>
      <w:pPr>
        <w:spacing w:after="0"/>
      </w:pPr>
      <w:r>
        <w:rPr>
          <w:b/>
          <w:color w:val="1F3A5F"/>
          <w:sz w:val="32"/>
        </w:rPr>
        <w:t>Offensive Security in the AI Transformation</w:t>
      </w:r>
    </w:p>
    <w:p>
      <w:pPr>
        <w:spacing w:after="40"/>
      </w:pPr>
      <w:r>
        <w:rPr>
          <w:i/>
          <w:color w:val="555555"/>
          <w:sz w:val="20"/>
        </w:rPr>
        <w:t>Executive brief — why the operating model must shift now, and what we are asking the executive team to endorse.</w:t>
      </w:r>
    </w:p>
    <w:p>
      <w:pPr>
        <w:spacing w:before="0" w:after="40"/>
        <w:pBdr>
          <w:bottom w:val="single" w:sz="10" w:space="1" w:color="C04A2B"/>
        </w:pBdr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224" w:type="dxa"/>
      </w:tblPr>
      <w:tblGrid>
        <w:gridCol w:w="10224"/>
      </w:tblGrid>
      <w:tr>
        <w:tc>
          <w:tcPr>
            <w:tcW w:w="10224" w:type="dxa"/>
            <w:shd w:val="clear" w:color="auto" w:fill="EAF3FA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b/>
                <w:color w:val="1F3A5F"/>
                <w:sz w:val="20"/>
              </w:rPr>
              <w:t>The thesis</w:t>
            </w:r>
          </w:p>
          <w:p>
            <w:pPr>
              <w:spacing w:after="0"/>
            </w:pPr>
            <w:r>
              <w:rPr>
                <w:sz w:val="18"/>
              </w:rPr>
              <w:t>•  Within twelve months, hundreds of AI-enabled and self-developed applications will exist across the enterprise — many handling PHI, many deploying outside the formal SDLC.</w:t>
            </w:r>
          </w:p>
          <w:p>
            <w:pPr>
              <w:spacing w:after="0"/>
            </w:pPr>
            <w:r>
              <w:rPr>
                <w:sz w:val="18"/>
              </w:rPr>
              <w:t>•  If offensive security keeps operating as a pre-deployment review function, it will be routed around. If it becomes the empirical truth function for AI risk — the team that proves what does and does not work — it becomes a strategic partner to the transformation.</w:t>
            </w:r>
          </w:p>
          <w:p>
            <w:pPr>
              <w:spacing w:after="0"/>
            </w:pPr>
            <w:r>
              <w:rPr>
                <w:sz w:val="18"/>
              </w:rPr>
              <w:t>•  In healthcare, an AI-mediated PHI exposure or a manipulated clinical-adjacent system carries breach-notification, HIPAA, FDA-adjacent, and patient-safety consequences. The window to shape the model is now.</w:t>
            </w:r>
          </w:p>
        </w:tc>
      </w:tr>
    </w:tbl>
    <w:p>
      <w:pPr>
        <w:spacing w:after="0" w:before="0"/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080" w:type="dxa"/>
      </w:tblPr>
      <w:tblGrid>
        <w:gridCol w:w="5040"/>
        <w:gridCol w:w="5040"/>
      </w:tblGrid>
      <w:t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top"/>
          </w:tcPr>
          <w:p>
            <w:r/>
          </w:p>
          <w:p>
            <w:pPr>
              <w:spacing w:before="0" w:after="40"/>
            </w:pPr>
            <w:r>
              <w:rPr>
                <w:b/>
                <w:color w:val="1F3A5F"/>
                <w:sz w:val="22"/>
              </w:rPr>
              <w:t>What we will do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Build the paved road</w:t>
            </w:r>
            <w:r>
              <w:rPr>
                <w:sz w:val="18"/>
              </w:rPr>
              <w:t xml:space="preserve"> — sanctioned LLM gateway, curated MCP registry, managed agent runtime, secure-by-default templates. The secure path becomes the easy path; adoption is the enforcement mechanism.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Risk-tier every AI initiative</w:t>
            </w:r>
            <w:r>
              <w:rPr>
                <w:sz w:val="18"/>
              </w:rPr>
              <w:t xml:space="preserve"> — four tiers anchored on PHI, decision impact, integration footprint, and user population. Human depth on Tier 1–2; automated assurance on Tier 3–4.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Validate continuously, not once</w:t>
            </w:r>
            <w:r>
              <w:rPr>
                <w:sz w:val="18"/>
              </w:rPr>
              <w:t xml:space="preserve"> — replace pre-deploy review with continuous post-deploy validation, threat hunting, and control testing across the five offensive security functions.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Demonstrate before we ask for more</w:t>
            </w:r>
            <w:r>
              <w:rPr>
                <w:sz w:val="18"/>
              </w:rPr>
              <w:t xml:space="preserve"> — the Phase 1 demonstration red team exercise reframes every later budget conversation in terms of avoided harm, not abstract risk.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Report quarterly</w:t>
            </w:r>
            <w:r>
              <w:rPr>
                <w:sz w:val="18"/>
              </w:rPr>
              <w:t xml:space="preserve"> — state-of-AI-security to the cyber exec team and risk committee, drawn from unified AI telemetry across gateway, MCP farm, and agent runtime.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top"/>
          </w:tcPr>
          <w:p>
            <w:r/>
          </w:p>
          <w:p>
            <w:pPr>
              <w:spacing w:before="0" w:after="40"/>
            </w:pPr>
            <w:r>
              <w:rPr>
                <w:b/>
                <w:color w:val="C04A2B"/>
                <w:sz w:val="22"/>
              </w:rPr>
              <w:t>What we need from the executive team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Endorse the operating-model shift</w:t>
            </w:r>
            <w:r>
              <w:rPr>
                <w:sz w:val="18"/>
              </w:rPr>
              <w:t xml:space="preserve"> — gatekeeper → embedded advisor and continuous validator; risk-tiered engagement as the enterprise standard.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Sponsor the sanctioned AI infrastructure</w:t>
            </w:r>
            <w:r>
              <w:rPr>
                <w:sz w:val="18"/>
              </w:rPr>
              <w:t xml:space="preserve"> — gateway, MCP farm, agent runtime, AI-aware SDLC, network provisioning — in conversations with platform engineering and AI governance.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Ratify the RACI</w:t>
            </w:r>
            <w:r>
              <w:rPr>
                <w:sz w:val="18"/>
              </w:rPr>
              <w:t xml:space="preserve"> — offensive security owns the discipline; platform engineering operates the controls; business owners own tiering inputs and risk acceptance.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Authorize Phase 1</w:t>
            </w:r>
            <w:r>
              <w:rPr>
                <w:sz w:val="18"/>
              </w:rPr>
              <w:t xml:space="preserve"> — within existing headcount and operating budget, with funded training and tooling proof-of-concepts.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Provide air cover</w:t>
            </w:r>
            <w:r>
              <w:rPr>
                <w:sz w:val="18"/>
              </w:rPr>
              <w:t xml:space="preserve"> — active sponsorship in AI transformation forums, AI governance, and BU leader conversations, positioning offensive security as the empirical truth function for AI risk.</w:t>
            </w:r>
          </w:p>
          <w:p>
            <w:pPr>
              <w:spacing w:after="20"/>
              <w:ind w:left="173"/>
            </w:pPr>
            <w:r>
              <w:rPr>
                <w:color w:val="C04A2B"/>
                <w:sz w:val="18"/>
              </w:rPr>
              <w:t xml:space="preserve">•  </w:t>
            </w:r>
            <w:r>
              <w:rPr>
                <w:b/>
                <w:sz w:val="18"/>
              </w:rPr>
              <w:t>Commit the cadence</w:t>
            </w:r>
            <w:r>
              <w:rPr>
                <w:sz w:val="18"/>
              </w:rPr>
              <w:t xml:space="preserve"> — quarterly state-of-AI-security report to cyber exec team and risk committee, beginning end of Phase 1.</w:t>
            </w:r>
          </w:p>
        </w:tc>
      </w:tr>
    </w:tbl>
    <w:p>
      <w:pPr>
        <w:spacing w:before="40" w:after="20"/>
      </w:pPr>
      <w:r>
        <w:rPr>
          <w:b/>
          <w:color w:val="1F3A5F"/>
          <w:sz w:val="21"/>
        </w:rPr>
        <w:t>What success looks like — twelve months</w:t>
      </w: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367" w:type="dxa"/>
      </w:tblPr>
      <w:tblGrid>
        <w:gridCol w:w="3456"/>
        <w:gridCol w:w="3456"/>
        <w:gridCol w:w="3456"/>
      </w:tblGrid>
      <w:tr>
        <w:tc>
          <w:tcPr>
            <w:tcW w:w="3456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Velocity preserved</w:t>
            </w:r>
          </w:p>
        </w:tc>
        <w:tc>
          <w:tcPr>
            <w:tcW w:w="3456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Risk made visible</w:t>
            </w:r>
          </w:p>
        </w:tc>
        <w:tc>
          <w:tcPr>
            <w:tcW w:w="3456" w:type="dxa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Footing established</w:t>
            </w:r>
          </w:p>
        </w:tc>
      </w:tr>
      <w:tr>
        <w:tc>
          <w:tcPr>
            <w:tcW w:w="3456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Citizen developers ship AI tools through a sanctioned path faster and cleaner than shadow alternatives. Hard pre-deploy gates apply only to Tier 1.</w:t>
            </w:r>
          </w:p>
        </w:tc>
        <w:tc>
          <w:tcPr>
            <w:tcW w:w="3456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Every prompt, tool call, and agent decision flows through unified telemetry. PHI egress, prompt-injection, and agent drift are detectable, attributable, reportable.</w:t>
            </w:r>
          </w:p>
        </w:tc>
        <w:tc>
          <w:tcPr>
            <w:tcW w:w="3456" w:type="dxa"/>
            <w:shd w:val="clear" w:color="auto" w:fill="F2F5F9"/>
            <w:tcBorders>
              <w:top w:val="single" w:sz="4" w:color="DDE3EB"/>
              <w:left w:val="single" w:sz="4" w:color="DDE3EB"/>
              <w:bottom w:val="single" w:sz="4" w:color="DDE3EB"/>
              <w:right w:val="single" w:sz="4" w:color="DDE3EB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sz w:val="17"/>
              </w:rPr>
              <w:t>Offensive security is a named participant in AI governance, AI infrastructure decisions, and quarterly board reporting — not a downstream reviewer.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CellMar>
          <w:top w:w="30" w:type="dxa"/>
          <w:bottom w:w="30" w:type="dxa"/>
          <w:left w:w="70" w:type="dxa"/>
          <w:right w:w="70" w:type="dxa"/>
        </w:tblCellMar>
        <w:tblW w:w="10224" w:type="dxa"/>
      </w:tblPr>
      <w:tblGrid>
        <w:gridCol w:w="10224"/>
      </w:tblGrid>
      <w:tr>
        <w:tc>
          <w:tcPr>
            <w:tcW w:w="10224" w:type="dxa"/>
            <w:shd w:val="clear" w:color="auto" w:fill="FFF4E5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after="20"/>
            </w:pPr>
            <w:r/>
            <w:r>
              <w:rPr>
                <w:b/>
                <w:color w:val="1F3A5F"/>
                <w:sz w:val="20"/>
              </w:rPr>
              <w:t>Why this proposal, and why now</w:t>
            </w:r>
          </w:p>
          <w:p>
            <w:pPr>
              <w:spacing w:after="0"/>
            </w:pPr>
            <w:r>
              <w:rPr>
                <w:sz w:val="18"/>
              </w:rPr>
              <w:t>•  Phase 1 is executable inside existing headcount — endorsement, not funding, is the unblocking decision.</w:t>
            </w:r>
          </w:p>
          <w:p>
            <w:pPr>
              <w:spacing w:after="0"/>
            </w:pPr>
            <w:r>
              <w:rPr>
                <w:sz w:val="18"/>
              </w:rPr>
              <w:t>•  The Phase 1 demonstration red team is the single highest-leverage move; it reframes every later investment in terms of avoided harm.</w:t>
            </w:r>
          </w:p>
          <w:p>
            <w:pPr>
              <w:spacing w:after="0"/>
            </w:pPr>
            <w:r>
              <w:rPr>
                <w:sz w:val="18"/>
              </w:rPr>
              <w:t>•  The longer AI governance is set without offensive security at the table, the more expensive it is to insert later.</w:t>
            </w:r>
          </w:p>
        </w:tc>
      </w:tr>
    </w:tbl>
    <w:p>
      <w:pPr>
        <w:spacing w:after="0" w:before="0"/>
      </w:pPr>
    </w:p>
    <w:p>
      <w:pPr>
        <w:spacing w:before="40" w:after="0"/>
        <w:pBdr>
          <w:top w:val="single" w:sz="6" w:space="2" w:color="C04A2B"/>
        </w:pBdr>
        <w:tabs>
          <w:tab w:val="right" w:pos="10224"/>
        </w:tabs>
      </w:pPr>
      <w:r>
        <w:rPr>
          <w:i/>
          <w:color w:val="555555"/>
          <w:sz w:val="17"/>
        </w:rPr>
        <w:t>Prepared by the Office of the Director, Offensive Security</w:t>
        <w:tab/>
        <w:t>Executive brief · companion to v2.1 · 2026-05-08</w:t>
      </w:r>
    </w:p>
    <w:sectPr w:rsidR="00FC693F" w:rsidRPr="0006063C" w:rsidSect="00034616">
      <w:pgSz w:w="12240" w:h="15840"/>
      <w:pgMar w:top="648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