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b/>
          <w:color w:val="C04A2B"/>
          <w:sz w:val="16"/>
        </w:rPr>
        <w:t>COMPANION TO V2.1 · INTERNAL — FOR CISO AND CYBER EXECUTIVE REVIEW</w:t>
      </w:r>
    </w:p>
    <w:p>
      <w:pPr>
        <w:spacing w:after="0"/>
      </w:pPr>
      <w:r>
        <w:rPr>
          <w:b/>
          <w:color w:val="1F3A5F"/>
          <w:sz w:val="32"/>
        </w:rPr>
        <w:t>Offensive Security Operating Model for the AI Transformation</w:t>
      </w:r>
    </w:p>
    <w:p>
      <w:pPr>
        <w:spacing w:after="40"/>
      </w:pPr>
      <w:r>
        <w:rPr>
          <w:i/>
          <w:color w:val="555555"/>
          <w:sz w:val="20"/>
        </w:rPr>
        <w:t>One-page summary — the shift, the model, the infrastructure, the ask.</w:t>
      </w:r>
    </w:p>
    <w:p>
      <w:pPr>
        <w:spacing w:before="0" w:after="40"/>
        <w:pBdr>
          <w:bottom w:val="single" w:sz="10" w:space="1" w:color="C04A2B"/>
        </w:pBdr>
      </w:pPr>
    </w:p>
    <w:tbl>
      <w:tblPr>
        <w:jc w:val="center"/>
        <w:tblLook w:firstColumn="1" w:firstRow="1" w:lastColumn="0" w:lastRow="0" w:noHBand="0" w:noVBand="1" w:val="04A0"/>
        <w:tblLayout w:type="fixed"/>
        <w:tblCellMar>
          <w:top w:w="30" w:type="dxa"/>
          <w:bottom w:w="30" w:type="dxa"/>
          <w:left w:w="70" w:type="dxa"/>
          <w:right w:w="70" w:type="dxa"/>
        </w:tblCellMar>
        <w:tblW w:w="10512" w:type="dxa"/>
      </w:tblPr>
      <w:tblGrid>
        <w:gridCol w:w="10512"/>
      </w:tblGrid>
      <w:tr>
        <w:tc>
          <w:tcPr>
            <w:tcW w:w="10512" w:type="dxa"/>
            <w:shd w:val="clear" w:color="auto" w:fill="EAF3FA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after="20"/>
            </w:pPr>
            <w:r/>
            <w:r>
              <w:rPr>
                <w:b/>
                <w:color w:val="1F3A5F"/>
                <w:sz w:val="20"/>
              </w:rPr>
              <w:t>The shift</w:t>
            </w:r>
          </w:p>
          <w:p>
            <w:pPr>
              <w:spacing w:after="0"/>
            </w:pPr>
            <w:r>
              <w:rPr>
                <w:sz w:val="18"/>
              </w:rPr>
              <w:t>•  From gatekeeper to embedded advisor and continuous validator — the empirical truth function for AI risk.</w:t>
            </w:r>
          </w:p>
          <w:p>
            <w:pPr>
              <w:spacing w:after="0"/>
            </w:pPr>
            <w:r>
              <w:rPr>
                <w:sz w:val="18"/>
              </w:rPr>
              <w:t>•  Pre-deployment review cannot scale to hundreds of citizen-developer apps; the response is to redesign the model, not review harder.</w:t>
            </w:r>
          </w:p>
        </w:tc>
      </w:tr>
    </w:tbl>
    <w:p>
      <w:pPr>
        <w:spacing w:after="0" w:before="0"/>
      </w:pPr>
    </w:p>
    <w:tbl>
      <w:tblPr>
        <w:jc w:val="center"/>
        <w:tblLook w:firstColumn="1" w:firstRow="1" w:lastColumn="0" w:lastRow="0" w:noHBand="0" w:noVBand="1" w:val="04A0"/>
        <w:tblLayout w:type="fixed"/>
        <w:tblCellMar>
          <w:top w:w="30" w:type="dxa"/>
          <w:bottom w:w="30" w:type="dxa"/>
          <w:left w:w="70" w:type="dxa"/>
          <w:right w:w="70" w:type="dxa"/>
        </w:tblCellMar>
        <w:tblW w:w="10512" w:type="dxa"/>
      </w:tblPr>
      <w:tblGrid>
        <w:gridCol w:w="5256"/>
        <w:gridCol w:w="5256"/>
      </w:tblGrid>
      <w:tr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top"/>
          </w:tcPr>
          <w:p>
            <w:r/>
          </w:p>
          <w:p>
            <w:pPr>
              <w:spacing w:before="0" w:after="40"/>
            </w:pPr>
            <w:r>
              <w:rPr>
                <w:b/>
                <w:color w:val="1F3A5F"/>
                <w:sz w:val="21"/>
              </w:rPr>
              <w:t>Three operating principles</w:t>
            </w:r>
          </w:p>
          <w:p>
            <w:pPr>
              <w:spacing w:after="20"/>
              <w:ind w:left="173"/>
            </w:pPr>
            <w:r>
              <w:rPr>
                <w:color w:val="C04A2B"/>
                <w:sz w:val="17"/>
              </w:rPr>
              <w:t xml:space="preserve">•  </w:t>
            </w:r>
            <w:r>
              <w:rPr>
                <w:b/>
                <w:sz w:val="17"/>
              </w:rPr>
              <w:t>Paved road over gates</w:t>
            </w:r>
            <w:r>
              <w:rPr>
                <w:sz w:val="17"/>
              </w:rPr>
              <w:t xml:space="preserve"> — sanctioned gateway, vetted MCP registry, secure-by-default templates. Adoption is the enforcement mechanism.</w:t>
            </w:r>
          </w:p>
          <w:p>
            <w:pPr>
              <w:spacing w:after="20"/>
              <w:ind w:left="173"/>
            </w:pPr>
            <w:r>
              <w:rPr>
                <w:color w:val="C04A2B"/>
                <w:sz w:val="17"/>
              </w:rPr>
              <w:t xml:space="preserve">•  </w:t>
            </w:r>
            <w:r>
              <w:rPr>
                <w:b/>
                <w:sz w:val="17"/>
              </w:rPr>
              <w:t>Risk-tiered engagement</w:t>
            </w:r>
            <w:r>
              <w:rPr>
                <w:sz w:val="17"/>
              </w:rPr>
              <w:t xml:space="preserve"> — human depth on Tier 1–2; Tier 3–4 ride automated assurance with sampled red team validation.</w:t>
            </w:r>
          </w:p>
          <w:p>
            <w:pPr>
              <w:spacing w:after="20"/>
              <w:ind w:left="173"/>
            </w:pPr>
            <w:r>
              <w:rPr>
                <w:color w:val="C04A2B"/>
                <w:sz w:val="17"/>
              </w:rPr>
              <w:t xml:space="preserve">•  </w:t>
            </w:r>
            <w:r>
              <w:rPr>
                <w:b/>
                <w:sz w:val="17"/>
              </w:rPr>
              <w:t>Continuous validation</w:t>
            </w:r>
            <w:r>
              <w:rPr>
                <w:sz w:val="17"/>
              </w:rPr>
              <w:t xml:space="preserve"> — replace point-in-time pre-deploy review with post-deploy validation, hunting, and control testing.</w:t>
            </w:r>
          </w:p>
          <w:p>
            <w:pPr>
              <w:spacing w:before="80" w:after="40"/>
            </w:pPr>
            <w:r>
              <w:rPr>
                <w:b/>
                <w:color w:val="1F3A5F"/>
                <w:sz w:val="21"/>
              </w:rPr>
              <w:t>Risk tiering — how effort scales</w:t>
            </w:r>
          </w:p>
          <w:p>
            <w:pPr>
              <w:spacing w:after="20"/>
              <w:ind w:left="173"/>
            </w:pPr>
            <w:r>
              <w:rPr>
                <w:color w:val="C04A2B"/>
                <w:sz w:val="17"/>
              </w:rPr>
              <w:t xml:space="preserve">•  </w:t>
            </w:r>
            <w:r>
              <w:rPr>
                <w:b/>
                <w:sz w:val="17"/>
              </w:rPr>
              <w:t>Tier 1</w:t>
            </w:r>
            <w:r>
              <w:rPr>
                <w:sz w:val="17"/>
              </w:rPr>
              <w:t xml:space="preserve"> — PHI / clinical / external-facing. Embedded AppSec partner, manual red team, continuous control validation.</w:t>
            </w:r>
          </w:p>
          <w:p>
            <w:pPr>
              <w:spacing w:after="20"/>
              <w:ind w:left="173"/>
            </w:pPr>
            <w:r>
              <w:rPr>
                <w:color w:val="C04A2B"/>
                <w:sz w:val="17"/>
              </w:rPr>
              <w:t xml:space="preserve">•  </w:t>
            </w:r>
            <w:r>
              <w:rPr>
                <w:b/>
                <w:sz w:val="17"/>
              </w:rPr>
              <w:t>Tier 2</w:t>
            </w:r>
            <w:r>
              <w:rPr>
                <w:sz w:val="17"/>
              </w:rPr>
              <w:t xml:space="preserve"> — Sensitive internal action / write-back to systems of record. Embedded review, manual red team for material changes.</w:t>
            </w:r>
          </w:p>
          <w:p>
            <w:pPr>
              <w:spacing w:after="20"/>
              <w:ind w:left="173"/>
            </w:pPr>
            <w:r>
              <w:rPr>
                <w:color w:val="C04A2B"/>
                <w:sz w:val="17"/>
              </w:rPr>
              <w:t xml:space="preserve">•  </w:t>
            </w:r>
            <w:r>
              <w:rPr>
                <w:b/>
                <w:sz w:val="17"/>
              </w:rPr>
              <w:t>Tier 3</w:t>
            </w:r>
            <w:r>
              <w:rPr>
                <w:sz w:val="17"/>
              </w:rPr>
              <w:t xml:space="preserve"> — Internal advisory with broad reach. Async checklist review, automated red team, continuous monitoring.</w:t>
            </w:r>
          </w:p>
          <w:p>
            <w:pPr>
              <w:spacing w:after="20"/>
              <w:ind w:left="173"/>
            </w:pPr>
            <w:r>
              <w:rPr>
                <w:color w:val="C04A2B"/>
                <w:sz w:val="17"/>
              </w:rPr>
              <w:t xml:space="preserve">•  </w:t>
            </w:r>
            <w:r>
              <w:rPr>
                <w:b/>
                <w:sz w:val="17"/>
              </w:rPr>
              <w:t>Tier 4</w:t>
            </w:r>
            <w:r>
              <w:rPr>
                <w:sz w:val="17"/>
              </w:rPr>
              <w:t xml:space="preserve"> — Low-impact assistive. Paved-road template, automated scanning, baseline logging, no human review unless flags fire.</w:t>
            </w:r>
          </w:p>
          <w:p>
            <w:pPr>
              <w:spacing w:after="0"/>
            </w:pPr>
            <w:r>
              <w:rPr>
                <w:i/>
                <w:sz w:val="16"/>
              </w:rPr>
              <w:t>Dimensions: data sensitivity · decision impact · integration footprint · user population. Re-tier on material change, incident, regulatory shift, or annual recert.</w:t>
            </w:r>
          </w:p>
        </w:tc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top"/>
          </w:tcPr>
          <w:p>
            <w:r/>
          </w:p>
          <w:p>
            <w:pPr>
              <w:spacing w:before="0" w:after="40"/>
            </w:pPr>
            <w:r>
              <w:rPr>
                <w:b/>
                <w:color w:val="1F3A5F"/>
                <w:sz w:val="21"/>
              </w:rPr>
              <w:t>Sanctioned AI infrastructure — six layers</w:t>
            </w:r>
          </w:p>
          <w:p>
            <w:pPr>
              <w:spacing w:after="20"/>
              <w:ind w:left="173"/>
            </w:pPr>
            <w:r>
              <w:rPr>
                <w:color w:val="C04A2B"/>
                <w:sz w:val="17"/>
              </w:rPr>
              <w:t xml:space="preserve">•  </w:t>
            </w:r>
            <w:r>
              <w:rPr>
                <w:b/>
                <w:sz w:val="17"/>
              </w:rPr>
              <w:t>AI gateway</w:t>
            </w:r>
            <w:r>
              <w:rPr>
                <w:sz w:val="17"/>
              </w:rPr>
              <w:t xml:space="preserve"> — only sanctioned path to Claude and approved models; identity, data-class routing, prompt DLP/PHI redaction, output filtering, quotas, full logging.</w:t>
            </w:r>
          </w:p>
          <w:p>
            <w:pPr>
              <w:spacing w:after="20"/>
              <w:ind w:left="173"/>
            </w:pPr>
            <w:r>
              <w:rPr>
                <w:color w:val="C04A2B"/>
                <w:sz w:val="17"/>
              </w:rPr>
              <w:t xml:space="preserve">•  </w:t>
            </w:r>
            <w:r>
              <w:rPr>
                <w:b/>
                <w:sz w:val="17"/>
              </w:rPr>
              <w:t>MCP server farm</w:t>
            </w:r>
            <w:r>
              <w:rPr>
                <w:sz w:val="17"/>
              </w:rPr>
              <w:t xml:space="preserve"> — curated registry, no BYO; tier inherited from MCP to calling agent; scoped short-lived tokens; tool-call logging.</w:t>
            </w:r>
          </w:p>
          <w:p>
            <w:pPr>
              <w:spacing w:after="20"/>
              <w:ind w:left="173"/>
            </w:pPr>
            <w:r>
              <w:rPr>
                <w:color w:val="C04A2B"/>
                <w:sz w:val="17"/>
              </w:rPr>
              <w:t xml:space="preserve">•  </w:t>
            </w:r>
            <w:r>
              <w:rPr>
                <w:b/>
                <w:sz w:val="17"/>
              </w:rPr>
              <w:t>Agent runtime</w:t>
            </w:r>
            <w:r>
              <w:rPr>
                <w:sz w:val="17"/>
              </w:rPr>
              <w:t xml:space="preserve"> — managed workloads with workload identity, scoped tool allow-list, validated eval suite, sandbox, kill-switch, recert.</w:t>
            </w:r>
          </w:p>
          <w:p>
            <w:pPr>
              <w:spacing w:after="20"/>
              <w:ind w:left="173"/>
            </w:pPr>
            <w:r>
              <w:rPr>
                <w:color w:val="C04A2B"/>
                <w:sz w:val="17"/>
              </w:rPr>
              <w:t xml:space="preserve">•  </w:t>
            </w:r>
            <w:r>
              <w:rPr>
                <w:b/>
                <w:sz w:val="17"/>
              </w:rPr>
              <w:t>AI-aware SDLC</w:t>
            </w:r>
            <w:r>
              <w:rPr>
                <w:sz w:val="17"/>
              </w:rPr>
              <w:t xml:space="preserve"> — five stages with automated checks at every tier and gates calibrated to tier (intake → design → build → pre-prod → production).</w:t>
            </w:r>
          </w:p>
          <w:p>
            <w:pPr>
              <w:spacing w:after="20"/>
              <w:ind w:left="173"/>
            </w:pPr>
            <w:r>
              <w:rPr>
                <w:color w:val="C04A2B"/>
                <w:sz w:val="17"/>
              </w:rPr>
              <w:t xml:space="preserve">•  </w:t>
            </w:r>
            <w:r>
              <w:rPr>
                <w:b/>
                <w:sz w:val="17"/>
              </w:rPr>
              <w:t>Network provisioning</w:t>
            </w:r>
            <w:r>
              <w:rPr>
                <w:sz w:val="17"/>
              </w:rPr>
              <w:t xml:space="preserve"> — per-tier subnets, mTLS east-west, TLS-inspecting egress, default-deny allow-list, end-user shadow-AI block.</w:t>
            </w:r>
          </w:p>
          <w:p>
            <w:pPr>
              <w:spacing w:after="20"/>
              <w:ind w:left="173"/>
            </w:pPr>
            <w:r>
              <w:rPr>
                <w:color w:val="C04A2B"/>
                <w:sz w:val="17"/>
              </w:rPr>
              <w:t xml:space="preserve">•  </w:t>
            </w:r>
            <w:r>
              <w:rPr>
                <w:b/>
                <w:sz w:val="17"/>
              </w:rPr>
              <w:t>Unified AI telemetry</w:t>
            </w:r>
            <w:r>
              <w:rPr>
                <w:sz w:val="17"/>
              </w:rPr>
              <w:t xml:space="preserve"> — prompts, completions, tool calls, retrievals, agent decisions, policy events with identity context — to SIEM, hunt, control validation, owner dashboards.</w:t>
            </w:r>
          </w:p>
        </w:tc>
      </w:tr>
    </w:tbl>
    <w:p>
      <w:pPr>
        <w:spacing w:before="40" w:after="20"/>
      </w:pPr>
      <w:r>
        <w:rPr>
          <w:b/>
          <w:color w:val="1F3A5F"/>
          <w:sz w:val="21"/>
        </w:rPr>
        <w:t>Phased capability roadmap (18 months)</w:t>
      </w:r>
    </w:p>
    <w:tbl>
      <w:tblPr>
        <w:jc w:val="center"/>
        <w:tblLook w:firstColumn="1" w:firstRow="1" w:lastColumn="0" w:lastRow="0" w:noHBand="0" w:noVBand="1" w:val="04A0"/>
        <w:tblLayout w:type="fixed"/>
        <w:tblCellMar>
          <w:top w:w="30" w:type="dxa"/>
          <w:bottom w:w="30" w:type="dxa"/>
          <w:left w:w="70" w:type="dxa"/>
          <w:right w:w="70" w:type="dxa"/>
        </w:tblCellMar>
        <w:tblW w:w="10512" w:type="dxa"/>
      </w:tblPr>
      <w:tblGrid>
        <w:gridCol w:w="2628"/>
        <w:gridCol w:w="2628"/>
        <w:gridCol w:w="2628"/>
        <w:gridCol w:w="2628"/>
      </w:tblGrid>
      <w:tr>
        <w:tc>
          <w:tcPr>
            <w:tcW w:w="2628" w:type="dxa"/>
            <w:shd w:val="clear" w:color="auto" w:fill="1F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7"/>
              </w:rPr>
              <w:t>Phase 1 — Demonstrate</w:t>
            </w:r>
          </w:p>
        </w:tc>
        <w:tc>
          <w:tcPr>
            <w:tcW w:w="2628" w:type="dxa"/>
            <w:shd w:val="clear" w:color="auto" w:fill="1F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7"/>
              </w:rPr>
              <w:t>Phase 2 — Build the paved road</w:t>
            </w:r>
          </w:p>
        </w:tc>
        <w:tc>
          <w:tcPr>
            <w:tcW w:w="2628" w:type="dxa"/>
            <w:shd w:val="clear" w:color="auto" w:fill="1F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7"/>
              </w:rPr>
              <w:t>Phase 3 — Measure</w:t>
            </w:r>
          </w:p>
        </w:tc>
        <w:tc>
          <w:tcPr>
            <w:tcW w:w="2628" w:type="dxa"/>
            <w:shd w:val="clear" w:color="auto" w:fill="1F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7"/>
              </w:rPr>
              <w:t>Phase 4 — Institutionalize</w:t>
            </w:r>
          </w:p>
        </w:tc>
      </w:tr>
      <w:tr>
        <w:tc>
          <w:tcPr>
            <w:tcW w:w="2628" w:type="dxa"/>
            <w:shd w:val="clear" w:color="auto" w:fill="F2F5F9"/>
            <w:tcBorders>
              <w:top w:val="single" w:sz="4" w:color="DDE3EB"/>
              <w:left w:val="single" w:sz="4" w:color="DDE3EB"/>
              <w:bottom w:val="single" w:sz="4" w:color="DDE3EB"/>
              <w:right w:val="single" w:sz="4" w:color="DDE3EB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Existing headcount; reprioritize toward AI. Demonstration red team reframes every later budget conversation.</w:t>
            </w:r>
          </w:p>
        </w:tc>
        <w:tc>
          <w:tcPr>
            <w:tcW w:w="2628" w:type="dxa"/>
            <w:shd w:val="clear" w:color="auto" w:fill="F2F5F9"/>
            <w:tcBorders>
              <w:top w:val="single" w:sz="4" w:color="DDE3EB"/>
              <w:left w:val="single" w:sz="4" w:color="DDE3EB"/>
              <w:bottom w:val="single" w:sz="4" w:color="DDE3EB"/>
              <w:right w:val="single" w:sz="4" w:color="DDE3EB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Gateway, MCP farm, agent runtime, AI-aware SDLC. Selective specialist hiring. Paved-road UX as first-class concern.</w:t>
            </w:r>
          </w:p>
        </w:tc>
        <w:tc>
          <w:tcPr>
            <w:tcW w:w="2628" w:type="dxa"/>
            <w:shd w:val="clear" w:color="auto" w:fill="F2F5F9"/>
            <w:tcBorders>
              <w:top w:val="single" w:sz="4" w:color="DDE3EB"/>
              <w:left w:val="single" w:sz="4" w:color="DDE3EB"/>
              <w:bottom w:val="single" w:sz="4" w:color="DDE3EB"/>
              <w:right w:val="single" w:sz="4" w:color="DDE3EB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Continuous control validation for AI; board / risk-committee metrics; sharpened ask informed by data.</w:t>
            </w:r>
          </w:p>
        </w:tc>
        <w:tc>
          <w:tcPr>
            <w:tcW w:w="2628" w:type="dxa"/>
            <w:shd w:val="clear" w:color="auto" w:fill="F2F5F9"/>
            <w:tcBorders>
              <w:top w:val="single" w:sz="4" w:color="DDE3EB"/>
              <w:left w:val="single" w:sz="4" w:color="DDE3EB"/>
              <w:bottom w:val="single" w:sz="4" w:color="DDE3EB"/>
              <w:right w:val="single" w:sz="4" w:color="DDE3EB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Quarterly state-of-AI-security cadence; durable RACI; the seat at the table outlives organizational change.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Layout w:type="fixed"/>
        <w:tblCellMar>
          <w:top w:w="30" w:type="dxa"/>
          <w:bottom w:w="30" w:type="dxa"/>
          <w:left w:w="70" w:type="dxa"/>
          <w:right w:w="70" w:type="dxa"/>
        </w:tblCellMar>
        <w:tblW w:w="10512" w:type="dxa"/>
      </w:tblPr>
      <w:tblGrid>
        <w:gridCol w:w="10512"/>
      </w:tblGrid>
      <w:tr>
        <w:tc>
          <w:tcPr>
            <w:tcW w:w="10512" w:type="dxa"/>
            <w:shd w:val="clear" w:color="auto" w:fill="FFF4E5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after="20"/>
            </w:pPr>
            <w:r/>
            <w:r>
              <w:rPr>
                <w:b/>
                <w:color w:val="1F3A5F"/>
                <w:sz w:val="20"/>
              </w:rPr>
              <w:t>What we are asking from the CISO and cyber executive team</w:t>
            </w:r>
          </w:p>
          <w:p>
            <w:pPr>
              <w:spacing w:after="0"/>
            </w:pPr>
            <w:r>
              <w:rPr>
                <w:sz w:val="17"/>
              </w:rPr>
              <w:t>•  Operating model approval — gatekeeper → embedded advisor + continuous validator; risk-tiered engagement as the standard.</w:t>
            </w:r>
          </w:p>
          <w:p>
            <w:pPr>
              <w:spacing w:after="0"/>
            </w:pPr>
            <w:r>
              <w:rPr>
                <w:sz w:val="17"/>
              </w:rPr>
              <w:t>•  Risk-tiering adoption — four tiers, socialized with AI governance, privacy, compliance.</w:t>
            </w:r>
          </w:p>
          <w:p>
            <w:pPr>
              <w:spacing w:after="0"/>
            </w:pPr>
            <w:r>
              <w:rPr>
                <w:sz w:val="17"/>
              </w:rPr>
              <w:t>•  AI infrastructure endorsement — gateway, MCP farm, agent runtime, AI-aware SDLC, network provisioning.</w:t>
            </w:r>
          </w:p>
          <w:p>
            <w:pPr>
              <w:spacing w:after="0"/>
            </w:pPr>
            <w:r>
              <w:rPr>
                <w:sz w:val="17"/>
              </w:rPr>
              <w:t>•  RACI ratification — offensive security owns the discipline; platform engineering operates the controls.</w:t>
            </w:r>
          </w:p>
          <w:p>
            <w:pPr>
              <w:spacing w:after="0"/>
            </w:pPr>
            <w:r>
              <w:rPr>
                <w:sz w:val="17"/>
              </w:rPr>
              <w:t>•  Phase 1 authorization — within existing headcount and operating budget; training and tooling PoC funding.</w:t>
            </w:r>
          </w:p>
          <w:p>
            <w:pPr>
              <w:spacing w:after="0"/>
            </w:pPr>
            <w:r>
              <w:rPr>
                <w:sz w:val="17"/>
              </w:rPr>
              <w:t>•  Executive air cover — sponsorship in AI transformation forums, AI governance, and BU leader conversations.</w:t>
            </w:r>
          </w:p>
          <w:p>
            <w:pPr>
              <w:spacing w:after="0"/>
            </w:pPr>
            <w:r>
              <w:rPr>
                <w:sz w:val="17"/>
              </w:rPr>
              <w:t>•  Reporting cadence — quarterly state-of-AI-security report to cyber exec team and risk committee.</w:t>
            </w:r>
          </w:p>
        </w:tc>
      </w:tr>
    </w:tbl>
    <w:p>
      <w:pPr>
        <w:spacing w:before="40" w:after="0"/>
        <w:pBdr>
          <w:top w:val="single" w:sz="6" w:space="2" w:color="C04A2B"/>
        </w:pBdr>
        <w:tabs>
          <w:tab w:val="right" w:pos="10512"/>
        </w:tabs>
      </w:pPr>
      <w:r>
        <w:rPr>
          <w:i/>
          <w:color w:val="555555"/>
          <w:sz w:val="17"/>
        </w:rPr>
        <w:t>Prepared by the Office of the Director, Offensive Security</w:t>
        <w:tab/>
        <w:t>Companion summary to v2.1 · 2026-05-08</w:t>
      </w:r>
    </w:p>
    <w:sectPr w:rsidR="00FC693F" w:rsidRPr="0006063C" w:rsidSect="00034616">
      <w:pgSz w:w="12240" w:h="15840"/>
      <w:pgMar w:top="504" w:right="792" w:bottom="43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