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Cs/>
          <w:sz w:val="28"/>
          <w:szCs w:val="32"/>
        </w:rPr>
      </w:pPr>
      <w:r>
        <w:rPr>
          <w:rFonts w:ascii="Times New Roman" w:hAnsi="Times New Roman" w:cs="Times New Roman"/>
          <w:bCs/>
          <w:sz w:val="28"/>
          <w:szCs w:val="32"/>
        </w:rPr>
        <w:t xml:space="preserve">ФЕДЕРАЛЬНОЕ АГЕНСТВО ЖЕЛЕЗНОДОРОЖНОГО ТРАНСПОРТА</w:t>
      </w:r>
      <w:r>
        <w:rPr>
          <w:rFonts w:ascii="Times New Roman" w:hAnsi="Times New Roman" w:cs="Times New Roman"/>
          <w:bCs/>
          <w:sz w:val="28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«ПЕТЕРБУРГСКИЙ ГОСУДАРСТВЕННЫЙ УНИВЕРСИТЕТ ПУТЕЙ СООБЩЕНИЯ Императора Александра I»</w:t>
      </w:r>
      <w:r>
        <w:rPr>
          <w:rFonts w:ascii="Times New Roman" w:hAnsi="Times New Roman" w:cs="Times New Roman"/>
          <w:sz w:val="28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«Информационные и вычислительные системы»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Дисциплина «Корпоративные информационные системы»</w:t>
      </w:r>
      <w:r>
        <w:rPr>
          <w:rFonts w:ascii="Times New Roman" w:hAnsi="Times New Roman" w:cs="Times New Roman"/>
          <w:b/>
          <w:sz w:val="24"/>
          <w:szCs w:val="24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 ПРАКТИЧЕСКОМУ ЗАДАНИЮ №4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Style w:val="722"/>
        <w:tblW w:w="9178" w:type="dxa"/>
        <w:tblInd w:w="0" w:type="dxa"/>
        <w:tblBorders/>
        <w:tblLook w:val="04A0" w:firstRow="1" w:lastRow="0" w:firstColumn="1" w:lastColumn="0" w:noHBand="0" w:noVBand="1"/>
      </w:tblPr>
      <w:tblGrid>
        <w:gridCol w:w="4590"/>
        <w:gridCol w:w="4588"/>
      </w:tblGrid>
      <w:tr>
        <w:trPr>
          <w:trHeight w:val="1472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9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Выполнили студенты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 w:line="24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Факультет: АИТ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 w:line="24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Группа: ИВБ-21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spacing w:line="24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88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Кот Н.Д., Шефнер А.,</w:t>
            </w:r>
            <w:r>
              <w:rPr>
                <w:rFonts w:ascii="Times New Roman" w:hAnsi="Times New Roman" w:cs="Times New Roman"/>
                <w:sz w:val="28"/>
              </w:rPr>
            </w:r>
          </w:p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Егупов</w:t>
            </w:r>
            <w:r>
              <w:rPr>
                <w:rFonts w:ascii="Times New Roman" w:hAnsi="Times New Roman" w:cs="Times New Roman"/>
                <w:sz w:val="28"/>
              </w:rPr>
              <w:t xml:space="preserve"> Н.М., Ахмедов Х.А.</w:t>
            </w:r>
            <w:r>
              <w:rPr>
                <w:rFonts w:ascii="Times New Roman" w:hAnsi="Times New Roman" w:cs="Times New Roman"/>
                <w:sz w:val="28"/>
              </w:rPr>
            </w:r>
          </w:p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</w:r>
            <w:r>
              <w:rPr>
                <w:rFonts w:ascii="Times New Roman" w:hAnsi="Times New Roman" w:cs="Times New Roman"/>
                <w:sz w:val="28"/>
              </w:rPr>
            </w:r>
          </w:p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35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9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Проверил: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88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Пугачёв С.В.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Санкт-Петербург</w:t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2025</w:t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Цель</w:t>
      </w:r>
      <w:r>
        <w:rPr>
          <w:rFonts w:ascii="Times New Roman" w:hAnsi="Times New Roman" w:cs="Times New Roman"/>
          <w:b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  <w:t xml:space="preserve"> научиться</w:t>
      </w:r>
      <w:r>
        <w:rPr>
          <w:rFonts w:ascii="Times New Roman" w:hAnsi="Times New Roman" w:cs="Times New Roman"/>
          <w:sz w:val="28"/>
          <w:szCs w:val="28"/>
        </w:rPr>
        <w:t xml:space="preserve"> определять потребности заказчика на первом этапе проектирования корпоративной информационной системы через формирование дерева целей организации.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Задание: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 группе (распределение в соответствии с заданием №1)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Аналогично рис.1 «Фрагмент дерева целей», представленному выше, оформить дерево целей для «своей» организации на глубину до 3 уровня включительно.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Индивидуальная работа: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Аналогично рис.1 «Фрагмент дерева целей», представленному выше, оформить дерево целей для «свое</w:t>
      </w:r>
      <w:r>
        <w:rPr>
          <w:rFonts w:ascii="Times New Roman" w:hAnsi="Times New Roman" w:cs="Times New Roman"/>
          <w:sz w:val="28"/>
          <w:szCs w:val="28"/>
        </w:rPr>
        <w:t xml:space="preserve">го» отдела на глубину до 3 уровня включительно.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Дерево целей</w:t>
      </w:r>
      <w:r>
        <w:rPr>
          <w:rFonts w:ascii="Times New Roman" w:hAnsi="Times New Roman" w:cs="Times New Roman"/>
          <w:sz w:val="28"/>
          <w:szCs w:val="28"/>
        </w:rPr>
        <w:t xml:space="preserve"> – структурированная совокупность целей организации, построен</w:t>
      </w:r>
      <w:r>
        <w:rPr>
          <w:rFonts w:ascii="Times New Roman" w:hAnsi="Times New Roman" w:cs="Times New Roman"/>
          <w:sz w:val="28"/>
          <w:szCs w:val="28"/>
        </w:rPr>
        <w:t xml:space="preserve">ная по иерархическому принципу (распределенная по уровням, ранжированная). По сути, это визуальное представление достижения целей организации, то есть принцип, согласно которому главная цель достигается за счет совокупности второстепенных и дополнительных.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Дерево целей для организации "</w:t>
      </w:r>
      <w:r>
        <w:rPr>
          <w:rFonts w:ascii="Times New Roman" w:hAnsi="Times New Roman" w:cs="Times New Roman"/>
          <w:color w:val="f8faff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ТехноЛогистик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"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уровень (Генеральная цель):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Стать лидером в сфере логистических услуг, обеспечивая высокую скорость доставки и минимальные издержки.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уровень (Основные подцели):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numPr>
          <w:ilvl w:val="0"/>
          <w:numId w:val="1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логистических процессов.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Повышение клиентской удовлетворенности.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Расширение географии услуг.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уровень (Конкретные задачи):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numPr>
          <w:ilvl w:val="0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Подсистема 1 (Оптимизация):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27"/>
        <w:numPr>
          <w:ilvl w:val="0"/>
          <w:numId w:val="27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автоматизированной системы управления складом (WMS).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27"/>
        <w:numPr>
          <w:ilvl w:val="0"/>
          <w:numId w:val="27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Снижение времени обработки заказов на 20%.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27"/>
        <w:numPr>
          <w:ilvl w:val="0"/>
          <w:numId w:val="27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маршрутов доставки с помощью ИИ.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Подсистема 2 (Клиенты):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8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CRM-системы для учета потребностей клиентов.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8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Сокращение времени реакции на запросы до 2 часов.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8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лояльности для постоянных клиентов.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Подсистема 3 (Расширение):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Открытие 5 новых филиалов в регионах.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Партнёрство с международными перевозчиками.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1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 мобильного приложения для отслеживания грузов.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92935"/>
                <wp:effectExtent l="0" t="0" r="3175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5" cy="1892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49.05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Рис.1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Дерево целей отдела логистики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уровень (Генеральная цель):</w:t>
      </w:r>
      <w:r>
        <w:rPr>
          <w:rFonts w:ascii="Times New Roman" w:hAnsi="Times New Roman" w:cs="Times New Roman"/>
          <w:sz w:val="28"/>
          <w:szCs w:val="28"/>
        </w:rPr>
        <w:br/>
        <w:t xml:space="preserve">Обеспечить 99% своевременность доставки грузов при минимальных логистических издержках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уровень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одцели):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автоматизации логистических процессов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контроля качества перевозок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1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развития партнёрской сети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уровень (Задачи):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втоматизаци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я)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TMS (Transportation Management System)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Интеграция системы GPS-мониторинга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складского документооборота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онтрол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качества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KPI для перевозчиков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системы аудита поставщиков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претензионного механизма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артнёрск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сет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ь)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Привлечение региональных перевозчиков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программы лояльности партнёров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0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рейтинговой оценки перевозчиков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2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57680"/>
                <wp:effectExtent l="0" t="0" r="3175" b="0"/>
                <wp:docPr id="2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5" cy="175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38.4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</w:p>
    <w:p>
      <w:pPr>
        <w:pStyle w:val="72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</w:t>
      </w:r>
      <w:r>
        <w:rPr>
          <w:sz w:val="28"/>
          <w:szCs w:val="28"/>
        </w:rPr>
        <w:t xml:space="preserve">2</w:t>
      </w:r>
      <w:r>
        <w:rPr>
          <w:sz w:val="28"/>
          <w:szCs w:val="28"/>
        </w:rPr>
      </w:r>
    </w:p>
    <w:p>
      <w:pPr>
        <w:pStyle w:val="72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Дерево целей финансового отдела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уровень (Генеральная цель):</w:t>
      </w:r>
      <w:r>
        <w:rPr>
          <w:rFonts w:ascii="Times New Roman" w:hAnsi="Times New Roman" w:cs="Times New Roman"/>
          <w:sz w:val="28"/>
          <w:szCs w:val="28"/>
        </w:rPr>
        <w:br/>
        <w:t xml:space="preserve">Снизить операционные издержки на 15% без ущерба качеству услуг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уровень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одцели):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1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бюджетирования и контроля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1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анализа затрат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1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налоговой оптимизации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уровень (Задачи):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(Б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юджетировани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е)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системы скользящего бюджета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финансовой отчётности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Контроль лимитов подразделений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нализ затрат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ABC-анализа расходов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системы раннего предупреждения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фонда оплаты труда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алогов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оптимизаци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я)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Реструктуризация договорной базы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Применение льготных налоговых режимов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2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налогового учёта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89100"/>
                <wp:effectExtent l="0" t="0" r="3175" b="6350"/>
                <wp:docPr id="3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5" cy="168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33.00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</w:t>
      </w:r>
      <w:r>
        <w:rPr>
          <w:rFonts w:ascii="Times New Roman" w:hAnsi="Times New Roman" w:cs="Times New Roman"/>
          <w:sz w:val="28"/>
          <w:szCs w:val="28"/>
        </w:rPr>
        <w:t xml:space="preserve">3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727"/>
        <w:numPr>
          <w:ilvl w:val="1"/>
          <w:numId w:val="23"/>
        </w:num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Дерево целей отдела продаж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уровень (Генеральная цель):</w:t>
      </w:r>
      <w:r>
        <w:rPr>
          <w:rFonts w:ascii="Times New Roman" w:hAnsi="Times New Roman" w:cs="Times New Roman"/>
          <w:sz w:val="28"/>
          <w:szCs w:val="28"/>
        </w:rPr>
        <w:br/>
        <w:t xml:space="preserve">Достичь роста объёма продаж на 25% в 2025 году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уровень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одцели):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расширения клиентской базы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увеличения среднего чека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9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улучшения сервиса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уровень (Задачи):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лиентск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баз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Запуск таргетированной рекламной кампании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бонусной программы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сезонных промо-акций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редн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чек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системы кросс-продаж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Персонализация коммерческих предложений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Тренинги для менеджеров по продажам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3 (С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ервис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CRM-системы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обработки заявок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4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системы сбора отзывов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89100"/>
                <wp:effectExtent l="0" t="0" r="3175" b="6350"/>
                <wp:docPr id="4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5" cy="168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33.00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</w:t>
      </w:r>
      <w:r>
        <w:rPr>
          <w:rFonts w:ascii="Times New Roman" w:hAnsi="Times New Roman" w:cs="Times New Roman"/>
          <w:sz w:val="28"/>
          <w:szCs w:val="28"/>
        </w:rPr>
        <w:t xml:space="preserve">4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Дерево целей IT-отдела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уровень (Генеральная цель):</w:t>
      </w:r>
      <w:r>
        <w:rPr>
          <w:rFonts w:ascii="Times New Roman" w:hAnsi="Times New Roman" w:cs="Times New Roman"/>
          <w:sz w:val="28"/>
          <w:szCs w:val="28"/>
        </w:rPr>
        <w:br/>
        <w:t xml:space="preserve">Обеспечить 99.9% доступности корпоративных ИТ-систем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уровень (Основные 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одцели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модернизации инфраструктуры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5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 технической поддержки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 уровень (Задачи):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нфраструктур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Обновление серверного оборудования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Миграция в облачную инфраструктуру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системы мониторинга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(Б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езопасност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ь)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Развёртывание SIEM-системы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регулярных </w:t>
      </w:r>
      <w:r>
        <w:rPr>
          <w:rFonts w:ascii="Times New Roman" w:hAnsi="Times New Roman" w:cs="Times New Roman"/>
          <w:sz w:val="28"/>
          <w:szCs w:val="28"/>
        </w:rPr>
        <w:t xml:space="preserve">пентестов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сквозного шифрования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0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Подсистема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(П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оддержк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а)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базы знаний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Внедрение SLA для сервисов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numPr>
          <w:ilvl w:val="1"/>
          <w:numId w:val="26"/>
        </w:num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Организация круглосуточного мониторинга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Графическое представление: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89100"/>
                <wp:effectExtent l="0" t="0" r="3175" b="6350"/>
                <wp:docPr id="5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5" cy="168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33.00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</w:t>
      </w:r>
      <w:r>
        <w:rPr>
          <w:rFonts w:ascii="Times New Roman" w:hAnsi="Times New Roman" w:cs="Times New Roman"/>
          <w:sz w:val="28"/>
          <w:szCs w:val="28"/>
        </w:rPr>
        <w:t xml:space="preserve">5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</w:t>
      </w:r>
      <w:r>
        <w:rPr>
          <w:rFonts w:ascii="Times New Roman" w:hAnsi="Times New Roman" w:cs="Times New Roman"/>
          <w:sz w:val="28"/>
          <w:szCs w:val="28"/>
        </w:rPr>
        <w:t xml:space="preserve"> был </w:t>
      </w:r>
      <w:r>
        <w:rPr>
          <w:rFonts w:ascii="Times New Roman" w:hAnsi="Times New Roman" w:cs="Times New Roman"/>
          <w:sz w:val="28"/>
          <w:szCs w:val="28"/>
        </w:rPr>
        <w:t xml:space="preserve">освоен</w:t>
      </w:r>
      <w:r>
        <w:rPr>
          <w:rFonts w:ascii="Times New Roman" w:hAnsi="Times New Roman" w:cs="Times New Roman"/>
          <w:sz w:val="28"/>
          <w:szCs w:val="28"/>
        </w:rPr>
        <w:t xml:space="preserve"> метод «Дерево целей» для анализа потребностей заказчика</w:t>
      </w:r>
      <w:r>
        <w:rPr>
          <w:rFonts w:ascii="Times New Roman" w:hAnsi="Times New Roman" w:cs="Times New Roman"/>
          <w:sz w:val="28"/>
          <w:szCs w:val="28"/>
        </w:rPr>
        <w:t xml:space="preserve">, а также о</w:t>
      </w:r>
      <w:r>
        <w:rPr>
          <w:rFonts w:ascii="Times New Roman" w:hAnsi="Times New Roman" w:cs="Times New Roman"/>
          <w:sz w:val="28"/>
          <w:szCs w:val="28"/>
        </w:rPr>
        <w:t xml:space="preserve">пределены ключевые направления автоматизации для компании «</w:t>
      </w:r>
      <w:r>
        <w:rPr>
          <w:rFonts w:ascii="Times New Roman" w:hAnsi="Times New Roman" w:cs="Times New Roman"/>
          <w:sz w:val="28"/>
          <w:szCs w:val="28"/>
        </w:rPr>
        <w:t xml:space="preserve">ТехноЛогистик</w:t>
      </w:r>
      <w:r>
        <w:rPr>
          <w:rFonts w:ascii="Times New Roman" w:hAnsi="Times New Roman" w:cs="Times New Roman"/>
          <w:sz w:val="28"/>
          <w:szCs w:val="28"/>
        </w:rPr>
        <w:t xml:space="preserve">» и её </w:t>
      </w:r>
      <w:r>
        <w:rPr>
          <w:rFonts w:ascii="Times New Roman" w:hAnsi="Times New Roman" w:cs="Times New Roman"/>
          <w:sz w:val="28"/>
          <w:szCs w:val="28"/>
        </w:rPr>
        <w:t xml:space="preserve">отделов</w:t>
      </w:r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lvl w:ilvl="0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6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8"/>
        <w:szCs w:val="28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8"/>
        <w:szCs w:val="28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8"/>
        <w:szCs w:val="28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8"/>
        <w:szCs w:val="28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lvl w:ilvl="0">
      <w:isLgl w:val="false"/>
      <w:lvlJc w:val="left"/>
      <w:lvlText w:val=""/>
      <w:numFmt w:val="bullet"/>
      <w:pPr>
        <w:pBdr/>
        <w:spacing/>
        <w:ind w:hanging="360" w:left="9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8"/>
        <w:szCs w:val="28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3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>
        <w:rFonts w:hint="default"/>
      </w:rPr>
      <w:start w:val="3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13"/>
  </w:num>
  <w:num w:numId="2">
    <w:abstractNumId w:val="23"/>
  </w:num>
  <w:num w:numId="3">
    <w:abstractNumId w:val="19"/>
  </w:num>
  <w:num w:numId="4">
    <w:abstractNumId w:val="20"/>
  </w:num>
  <w:num w:numId="5">
    <w:abstractNumId w:val="7"/>
  </w:num>
  <w:num w:numId="6">
    <w:abstractNumId w:val="3"/>
  </w:num>
  <w:num w:numId="7">
    <w:abstractNumId w:val="21"/>
  </w:num>
  <w:num w:numId="8">
    <w:abstractNumId w:val="22"/>
  </w:num>
  <w:num w:numId="9">
    <w:abstractNumId w:val="1"/>
  </w:num>
  <w:num w:numId="10">
    <w:abstractNumId w:val="0"/>
  </w:num>
  <w:num w:numId="11">
    <w:abstractNumId w:val="16"/>
  </w:num>
  <w:num w:numId="12">
    <w:abstractNumId w:val="25"/>
  </w:num>
  <w:num w:numId="13">
    <w:abstractNumId w:val="8"/>
  </w:num>
  <w:num w:numId="14">
    <w:abstractNumId w:val="6"/>
  </w:num>
  <w:num w:numId="15">
    <w:abstractNumId w:val="18"/>
  </w:num>
  <w:num w:numId="16">
    <w:abstractNumId w:val="5"/>
  </w:num>
  <w:num w:numId="17">
    <w:abstractNumId w:val="24"/>
  </w:num>
  <w:num w:numId="18">
    <w:abstractNumId w:val="11"/>
  </w:num>
  <w:num w:numId="19">
    <w:abstractNumId w:val="9"/>
  </w:num>
  <w:num w:numId="20">
    <w:abstractNumId w:val="26"/>
  </w:num>
  <w:num w:numId="21">
    <w:abstractNumId w:val="2"/>
  </w:num>
  <w:num w:numId="22">
    <w:abstractNumId w:val="17"/>
  </w:num>
  <w:num w:numId="23">
    <w:abstractNumId w:val="27"/>
  </w:num>
  <w:num w:numId="24">
    <w:abstractNumId w:val="14"/>
  </w:num>
  <w:num w:numId="25">
    <w:abstractNumId w:val="15"/>
  </w:num>
  <w:num w:numId="26">
    <w:abstractNumId w:val="12"/>
  </w:num>
  <w:num w:numId="27">
    <w:abstractNumId w:val="10"/>
  </w:num>
  <w:num w:numId="28">
    <w:abstractNumId w:val="4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2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716"/>
    <w:next w:val="716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716"/>
    <w:next w:val="716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2">
    <w:name w:val="Heading 5"/>
    <w:basedOn w:val="716"/>
    <w:next w:val="71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16"/>
    <w:next w:val="716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16"/>
    <w:next w:val="71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16"/>
    <w:next w:val="716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16"/>
    <w:next w:val="716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719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19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19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19"/>
    <w:link w:val="7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19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19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19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19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1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16"/>
    <w:next w:val="716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19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16"/>
    <w:next w:val="716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19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16"/>
    <w:next w:val="716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19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7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16"/>
    <w:next w:val="716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19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716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19"/>
    <w:uiPriority w:val="20"/>
    <w:qFormat/>
    <w:pPr>
      <w:pBdr/>
      <w:spacing/>
      <w:ind/>
    </w:pPr>
    <w:rPr>
      <w:i/>
      <w:iCs/>
    </w:rPr>
  </w:style>
  <w:style w:type="character" w:styleId="173">
    <w:name w:val="Subtle Reference"/>
    <w:basedOn w:val="7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1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716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719"/>
    <w:link w:val="175"/>
    <w:uiPriority w:val="99"/>
    <w:pPr>
      <w:pBdr/>
      <w:spacing/>
      <w:ind/>
    </w:pPr>
  </w:style>
  <w:style w:type="paragraph" w:styleId="177">
    <w:name w:val="Footer"/>
    <w:basedOn w:val="716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719"/>
    <w:link w:val="177"/>
    <w:uiPriority w:val="99"/>
    <w:pPr>
      <w:pBdr/>
      <w:spacing/>
      <w:ind/>
    </w:pPr>
  </w:style>
  <w:style w:type="paragraph" w:styleId="179">
    <w:name w:val="Caption"/>
    <w:basedOn w:val="716"/>
    <w:next w:val="7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16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19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19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16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19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19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1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16"/>
    <w:next w:val="716"/>
    <w:uiPriority w:val="39"/>
    <w:unhideWhenUsed/>
    <w:pPr>
      <w:pBdr/>
      <w:spacing w:after="100"/>
      <w:ind/>
    </w:pPr>
  </w:style>
  <w:style w:type="paragraph" w:styleId="189">
    <w:name w:val="toc 2"/>
    <w:basedOn w:val="716"/>
    <w:next w:val="716"/>
    <w:uiPriority w:val="39"/>
    <w:unhideWhenUsed/>
    <w:pPr>
      <w:pBdr/>
      <w:spacing w:after="100"/>
      <w:ind w:left="220"/>
    </w:pPr>
  </w:style>
  <w:style w:type="paragraph" w:styleId="190">
    <w:name w:val="toc 3"/>
    <w:basedOn w:val="716"/>
    <w:next w:val="716"/>
    <w:uiPriority w:val="39"/>
    <w:unhideWhenUsed/>
    <w:pPr>
      <w:pBdr/>
      <w:spacing w:after="100"/>
      <w:ind w:left="440"/>
    </w:pPr>
  </w:style>
  <w:style w:type="paragraph" w:styleId="191">
    <w:name w:val="toc 4"/>
    <w:basedOn w:val="716"/>
    <w:next w:val="716"/>
    <w:uiPriority w:val="39"/>
    <w:unhideWhenUsed/>
    <w:pPr>
      <w:pBdr/>
      <w:spacing w:after="100"/>
      <w:ind w:left="660"/>
    </w:pPr>
  </w:style>
  <w:style w:type="paragraph" w:styleId="192">
    <w:name w:val="toc 5"/>
    <w:basedOn w:val="716"/>
    <w:next w:val="716"/>
    <w:uiPriority w:val="39"/>
    <w:unhideWhenUsed/>
    <w:pPr>
      <w:pBdr/>
      <w:spacing w:after="100"/>
      <w:ind w:left="880"/>
    </w:pPr>
  </w:style>
  <w:style w:type="paragraph" w:styleId="193">
    <w:name w:val="toc 6"/>
    <w:basedOn w:val="716"/>
    <w:next w:val="716"/>
    <w:uiPriority w:val="39"/>
    <w:unhideWhenUsed/>
    <w:pPr>
      <w:pBdr/>
      <w:spacing w:after="100"/>
      <w:ind w:left="1100"/>
    </w:pPr>
  </w:style>
  <w:style w:type="paragraph" w:styleId="194">
    <w:name w:val="toc 7"/>
    <w:basedOn w:val="716"/>
    <w:next w:val="716"/>
    <w:uiPriority w:val="39"/>
    <w:unhideWhenUsed/>
    <w:pPr>
      <w:pBdr/>
      <w:spacing w:after="100"/>
      <w:ind w:left="1320"/>
    </w:pPr>
  </w:style>
  <w:style w:type="paragraph" w:styleId="195">
    <w:name w:val="toc 8"/>
    <w:basedOn w:val="716"/>
    <w:next w:val="716"/>
    <w:uiPriority w:val="39"/>
    <w:unhideWhenUsed/>
    <w:pPr>
      <w:pBdr/>
      <w:spacing w:after="100"/>
      <w:ind w:left="1540"/>
    </w:pPr>
  </w:style>
  <w:style w:type="paragraph" w:styleId="196">
    <w:name w:val="toc 9"/>
    <w:basedOn w:val="716"/>
    <w:next w:val="716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16"/>
    <w:next w:val="716"/>
    <w:uiPriority w:val="99"/>
    <w:unhideWhenUsed/>
    <w:pPr>
      <w:pBdr/>
      <w:spacing w:after="0" w:afterAutospacing="0"/>
      <w:ind/>
    </w:pPr>
  </w:style>
  <w:style w:type="paragraph" w:styleId="716" w:default="1">
    <w:name w:val="Normal"/>
    <w:qFormat/>
    <w:pPr>
      <w:pBdr/>
      <w:spacing w:line="254" w:lineRule="auto"/>
      <w:ind/>
    </w:pPr>
  </w:style>
  <w:style w:type="paragraph" w:styleId="717">
    <w:name w:val="Heading 3"/>
    <w:basedOn w:val="716"/>
    <w:link w:val="723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8">
    <w:name w:val="Heading 4"/>
    <w:basedOn w:val="716"/>
    <w:link w:val="724"/>
    <w:uiPriority w:val="9"/>
    <w:qFormat/>
    <w:pPr>
      <w:pBdr/>
      <w:spacing w:after="100" w:afterAutospacing="1" w:before="100" w:beforeAutospacing="1" w:line="240" w:lineRule="auto"/>
      <w:ind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character" w:styleId="719" w:default="1">
    <w:name w:val="Default Paragraph Font"/>
    <w:uiPriority w:val="1"/>
    <w:unhideWhenUsed/>
    <w:pPr>
      <w:pBdr/>
      <w:spacing/>
      <w:ind/>
    </w:pPr>
  </w:style>
  <w:style w:type="table" w:styleId="72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1" w:default="1">
    <w:name w:val="No List"/>
    <w:uiPriority w:val="99"/>
    <w:semiHidden/>
    <w:unhideWhenUsed/>
    <w:pPr>
      <w:pBdr/>
      <w:spacing/>
      <w:ind/>
    </w:pPr>
  </w:style>
  <w:style w:type="table" w:styleId="722">
    <w:name w:val="Table Grid"/>
    <w:basedOn w:val="72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23" w:customStyle="1">
    <w:name w:val="Заголовок 3 Знак"/>
    <w:basedOn w:val="719"/>
    <w:link w:val="717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724" w:customStyle="1">
    <w:name w:val="Заголовок 4 Знак"/>
    <w:basedOn w:val="719"/>
    <w:link w:val="718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character" w:styleId="725">
    <w:name w:val="Strong"/>
    <w:basedOn w:val="719"/>
    <w:uiPriority w:val="22"/>
    <w:qFormat/>
    <w:pPr>
      <w:pBdr/>
      <w:spacing/>
      <w:ind/>
    </w:pPr>
    <w:rPr>
      <w:b/>
      <w:bCs/>
    </w:rPr>
  </w:style>
  <w:style w:type="paragraph" w:styleId="726">
    <w:name w:val="Normal (Web)"/>
    <w:basedOn w:val="716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727">
    <w:name w:val="List Paragraph"/>
    <w:basedOn w:val="71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сабиров</dc:creator>
  <cp:keywords/>
  <dc:description/>
  <cp:revision>3</cp:revision>
  <dcterms:created xsi:type="dcterms:W3CDTF">2025-05-13T15:38:00Z</dcterms:created>
  <dcterms:modified xsi:type="dcterms:W3CDTF">2025-05-14T10:46:21Z</dcterms:modified>
</cp:coreProperties>
</file>