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нформационные и вычислительные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Корпоративные информационные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  <w:lang w:val="ru-RU" w:eastAsia="ja-JP"/>
        </w:rPr>
        <w:t xml:space="preserve">ПРАКТИЧЕСКОМУ ЗАДАНИЮ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Style w:val="760"/>
        <w:tblW w:w="9498" w:type="dxa"/>
        <w:tblBorders/>
        <w:tblLook w:val="04A0" w:firstRow="1" w:lastRow="0" w:firstColumn="1" w:lastColumn="0" w:noHBand="0" w:noVBand="1"/>
      </w:tblPr>
      <w:tblGrid>
        <w:gridCol w:w="5229"/>
        <w:gridCol w:w="4269"/>
      </w:tblGrid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Групп: ИВБ-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Шефнер А.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Пугачев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З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акрепить понятия ERP II, EPR, CRM, SRM, SCM на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примере взаимосвязей между элементами организационной структуры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предприятия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Работа в группе: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18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Изучить лекционный материал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18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Придумать организацию: название и область деятельности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18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Придумать организационную структуру, пригодную для внедрения КИС уровня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ERP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II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18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Сформировать модель информационных потоков (описание массива данных, направление движения) между блоками организации по принципу: «Один блок – Один элемент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ERP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II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Индивидуальная работа: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19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Выбрать 1 отдел внутри отдельного блока организации (блоки распределить между собой из групповой части задания)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19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Определить возможные (не менее 5) функций отдела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19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Для 2 выбранных функций отдела описать необходимые массивы данных, требуемые для их исполнения в формате: Источник данных; Операции над массивом данных в отделе; Потребитель 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д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анных.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br w:type="page" w:clear="all"/>
      </w:r>
      <w:r>
        <w:rPr>
          <w:rFonts w:ascii="Times New Roman" w:hAnsi="Times New Roman" w:cs="Times New Roman"/>
          <w:sz w:val="28"/>
          <w:szCs w:val="28"/>
          <w:lang w:val="ru-RU" w:eastAsia="ja-JP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/>
          <w:sz w:val="28"/>
          <w:szCs w:val="28"/>
          <w:lang w:val="ru-RU" w:eastAsia="ja-JP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ja-JP"/>
        </w:rPr>
        <w:t xml:space="preserve">Описание организации:</w:t>
      </w:r>
      <w:r>
        <w:rPr>
          <w:rFonts w:ascii="Times New Roman" w:hAnsi="Times New Roman" w:cs="Times New Roman"/>
          <w:b/>
          <w:sz w:val="28"/>
          <w:szCs w:val="28"/>
          <w:lang w:val="ru-RU" w:eastAsia="ja-JP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  <w:t xml:space="preserve">АгроДата Технолоджи</w:t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  <w:t xml:space="preserve"> — компания разрабатывает цифровые платформы для управления сельскохозяйственными процессами: анализ данных урожайности, мониторинг почвы, прогнозирование погоды, оптимизация ресурсов (вода, удобрения).</w:t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ja-JP"/>
        </w:rPr>
        <w:t xml:space="preserve">Организационная структура:</w:t>
      </w:r>
      <w:r>
        <w:rPr>
          <w:rFonts w:ascii="Times New Roman" w:hAnsi="Times New Roman" w:cs="Times New Roman"/>
          <w:b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27"/>
        </w:numPr>
        <w:pBdr/>
        <w:spacing w:line="360" w:lineRule="auto"/>
        <w:ind w:firstLine="357" w:left="0"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  <w:t xml:space="preserve">Совет директоров – стратегическое планирование, контроль KPI.</w:t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27"/>
        </w:numPr>
        <w:pBdr/>
        <w:spacing w:line="360" w:lineRule="auto"/>
        <w:ind w:firstLine="357" w:left="0"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  <w:t xml:space="preserve">Отдел разработки ПО – создание и поддержка платформы, интеграция IoT-датчиков.</w:t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27"/>
        </w:numPr>
        <w:pBdr/>
        <w:spacing w:line="360" w:lineRule="auto"/>
        <w:ind w:firstLine="357" w:left="0"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  <w:t xml:space="preserve">Отдел аналитики данных – обработка данных с полей, машинное обучение, прогнозирование.</w:t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27"/>
        </w:numPr>
        <w:pBdr/>
        <w:spacing w:line="360" w:lineRule="auto"/>
        <w:ind w:firstLine="357" w:left="0"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  <w:t xml:space="preserve">Отдел клиентского обслуживания (CRM) – работа с клиентами, техподдержка, сбор обратной связи.</w:t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27"/>
        </w:numPr>
        <w:pBdr/>
        <w:spacing w:line="360" w:lineRule="auto"/>
        <w:ind w:firstLine="357" w:left="0"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  <w:t xml:space="preserve">Отдел снабжения (SCM/SRM) – закупка оборудования, управление поставщиками датчиков и серверов.</w:t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27"/>
        </w:numPr>
        <w:pBdr/>
        <w:spacing w:line="360" w:lineRule="auto"/>
        <w:ind w:firstLine="357" w:left="0"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  <w:t xml:space="preserve">Финансовый отдел – бюджетирование, учет доходов/расходов, анализ рентабельности.</w:t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27"/>
        </w:numPr>
        <w:pBdr/>
        <w:spacing w:line="360" w:lineRule="auto"/>
        <w:ind w:firstLine="357" w:left="0"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  <w:t xml:space="preserve">Маркетинг и продажи – продвижение платформы, заключение контрактов с агрохолдингами.</w:t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27"/>
        </w:numPr>
        <w:pBdr/>
        <w:spacing w:line="360" w:lineRule="auto"/>
        <w:ind w:firstLine="357" w:left="0"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  <w:t xml:space="preserve">Отдел внедрения – обучение клиентов, интеграция платформы в их системы.</w:t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  <w:r/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br w:type="page" w:clear="all"/>
      </w:r>
      <w:r>
        <w:rPr>
          <w:rFonts w:ascii="Times New Roman" w:hAnsi="Times New Roman" w:cs="Times New Roman"/>
          <w:sz w:val="28"/>
          <w:szCs w:val="28"/>
          <w:lang w:val="ru-RU" w:eastAsia="ja-JP"/>
        </w:rPr>
      </w:r>
      <w:r>
        <w:rPr>
          <w:highlight w:val="none"/>
          <w:lang w:val="ru-RU" w:eastAsia="ja-JP"/>
        </w:rPr>
      </w:r>
      <w:r>
        <w:rPr>
          <w:highlight w:val="none"/>
          <w:lang w:val="ru-RU" w:eastAsia="ja-JP"/>
        </w:rPr>
      </w:r>
      <w:r>
        <w:rPr>
          <w:rFonts w:ascii="Times New Roman" w:hAnsi="Times New Roman" w:cs="Times New Roman"/>
          <w:sz w:val="28"/>
          <w:szCs w:val="28"/>
          <w:lang w:val="ru-RU" w:eastAsia="ja-JP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ja-JP"/>
        </w:rPr>
        <w:t xml:space="preserve">Модель информационных потоков:</w:t>
      </w:r>
      <w:r>
        <w:rPr>
          <w:rFonts w:ascii="Times New Roman" w:hAnsi="Times New Roman" w:cs="Times New Roman"/>
          <w:b/>
          <w:sz w:val="28"/>
          <w:szCs w:val="28"/>
          <w:lang w:val="ru-RU" w:eastAsia="ja-JP"/>
        </w:rPr>
      </w:r>
    </w:p>
    <w:tbl>
      <w:tblPr>
        <w:tblStyle w:val="76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08"/>
        <w:gridCol w:w="1833"/>
        <w:gridCol w:w="5614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Блок организации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Элемент ERP II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6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Информационные потоки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Совет директоров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BI (Business Intelligence)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6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Получает аналитические отчеты по эффективности платформы, ROI клиентов, рыночным трендам.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Отдел разработки ПО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ERP (ядро системы)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6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Данные о требованиях клиентов (из CRM), ошибки системы (от техподдержки), обновления ПО.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Отдел аналитики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ERP II (расширенная аналитика)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6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Данные с датчиков, метеосводки, результаты прогнозов → передаются в CRM и клиентам.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Отдел клиентского обслуживания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CRM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6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История взаимодействий с клиентами, запросы на доработки → в разработку и аналитику.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Отдел снабжения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SCM/SRM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6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Запросы на оборудование (от разработки), данные о поставщиках → в финансовый отдел.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Финансовый отдел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Финансовый модуль ERP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6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Бюджеты, затраты на закупки (от SCM), доходы от клиентов (от CRM).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Маркетинг и продажи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CRM + маркетинговые модули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6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Данные о рыночном спросе → в разработку, отчеты о конверсиях → в совет директоров.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Отдел внедрения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SRM (управление сервисом)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6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Отзывы клиентов, данные о проблемах внедрения → в разработку и аналитику.</w:t>
            </w:r>
            <w:r/>
          </w:p>
        </w:tc>
      </w:tr>
    </w:tbl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  <w:lang w:val="ru-RU" w:eastAsia="ja-JP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ja-JP"/>
        </w:rPr>
        <w:t xml:space="preserve">Отдел аналитики данных:</w:t>
      </w:r>
      <w:r>
        <w:rPr>
          <w:rFonts w:ascii="Times New Roman" w:hAnsi="Times New Roman" w:cs="Times New Roman"/>
          <w:b/>
          <w:sz w:val="28"/>
          <w:szCs w:val="28"/>
          <w:lang w:val="ru-RU" w:eastAsia="ja-JP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  <w:t xml:space="preserve">Возможные функции отдела:</w:t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28"/>
        </w:numPr>
        <w:pBdr/>
        <w:spacing w:line="360" w:lineRule="auto"/>
        <w:ind w:firstLine="357" w:left="0"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  <w:t xml:space="preserve">Сбор и обработка данных с IoT-датчиков (влажность, температура почвы).</w:t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28"/>
        </w:numPr>
        <w:pBdr/>
        <w:spacing w:line="360" w:lineRule="auto"/>
        <w:ind w:firstLine="357" w:left="0"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  <w:t xml:space="preserve">Анализ урожайности по регионам.</w:t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28"/>
        </w:numPr>
        <w:pBdr/>
        <w:spacing w:line="360" w:lineRule="auto"/>
        <w:ind w:firstLine="357" w:left="0"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  <w:t xml:space="preserve">Прогнозирование погодных аномалий.</w:t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28"/>
        </w:numPr>
        <w:pBdr/>
        <w:spacing w:line="360" w:lineRule="auto"/>
        <w:ind w:firstLine="357" w:left="0"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  <w:t xml:space="preserve">Оптимизация графика полива и внесения удобрений.</w:t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</w:p>
    <w:p>
      <w:pPr>
        <w:pStyle w:val="761"/>
        <w:numPr>
          <w:ilvl w:val="0"/>
          <w:numId w:val="28"/>
        </w:numPr>
        <w:pBdr/>
        <w:spacing w:line="360" w:lineRule="auto"/>
        <w:ind w:firstLine="357" w:left="0"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  <w:t xml:space="preserve">Формирование отчетов для клиентов.</w:t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  <w:r/>
      <w:r>
        <w:rPr>
          <w:rFonts w:ascii="Times New Roman" w:hAnsi="Times New Roman" w:cs="Times New Roman"/>
          <w:bCs/>
          <w:sz w:val="28"/>
          <w:szCs w:val="28"/>
          <w:lang w:val="ru-RU" w:eastAsia="ja-JP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ja-JP"/>
        </w:rPr>
        <w:t xml:space="preserve">Описание функций и массивов данных:</w:t>
      </w:r>
      <w:r>
        <w:rPr>
          <w:rFonts w:ascii="Times New Roman" w:hAnsi="Times New Roman" w:cs="Times New Roman"/>
          <w:b/>
          <w:sz w:val="28"/>
          <w:szCs w:val="28"/>
          <w:lang w:val="ru-RU" w:eastAsia="ja-JP"/>
        </w:rPr>
      </w:r>
    </w:p>
    <w:p>
      <w:pPr>
        <w:pBdr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  <w:lang w:val="ru-RU" w:eastAsia="ja-JP"/>
        </w:rPr>
        <w:t xml:space="preserve">Функция 1: Анализ урожайности</w:t>
      </w:r>
      <w:r>
        <w:rPr>
          <w:rFonts w:ascii="Times New Roman" w:hAnsi="Times New Roman" w:cs="Times New Roman"/>
          <w:b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  <w:lang w:val="ru-RU" w:eastAsia="ja-JP"/>
        </w:rPr>
      </w:r>
    </w:p>
    <w:p>
      <w:pPr>
        <w:pBdr/>
        <w:spacing w:line="360" w:lineRule="auto"/>
        <w:ind w:firstLine="0"/>
        <w:jc w:val="both"/>
        <w:rPr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Источник данных: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761"/>
        <w:numPr>
          <w:ilvl w:val="0"/>
          <w:numId w:val="33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IoT-датчики на полях клиентов (влажность, состав почвы);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761"/>
        <w:numPr>
          <w:ilvl w:val="0"/>
          <w:numId w:val="33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исторические данные урожайности (от клиентов);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761"/>
        <w:numPr>
          <w:ilvl w:val="0"/>
          <w:numId w:val="33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спутниковые снимки (индекс вегетации).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Bdr/>
        <w:spacing w:line="360" w:lineRule="auto"/>
        <w:ind w:firstLine="0"/>
        <w:jc w:val="both"/>
        <w:rPr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Операции над данными: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761"/>
        <w:numPr>
          <w:ilvl w:val="0"/>
          <w:numId w:val="34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Очистка данных от шумов;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761"/>
        <w:numPr>
          <w:ilvl w:val="0"/>
          <w:numId w:val="34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Сопоставление данных с погодными условиями;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761"/>
        <w:numPr>
          <w:ilvl w:val="0"/>
          <w:numId w:val="34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Построение карты урожайности с использованием ML.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Bdr/>
        <w:spacing w:line="360" w:lineRule="auto"/>
        <w:ind w:firstLine="0"/>
        <w:jc w:val="both"/>
        <w:rPr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Потребитель данных: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761"/>
        <w:numPr>
          <w:ilvl w:val="0"/>
          <w:numId w:val="35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Клиенты (отчеты);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761"/>
        <w:numPr>
          <w:ilvl w:val="0"/>
          <w:numId w:val="35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Отдел маркетинга (кейсы для продвижения);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761"/>
        <w:numPr>
          <w:ilvl w:val="0"/>
          <w:numId w:val="35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Разработка (доработка алгоритмов).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Bdr/>
        <w:spacing w:line="360" w:lineRule="auto"/>
        <w:ind w:firstLine="0"/>
        <w:jc w:val="center"/>
        <w:rPr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Функция 2: Прогнозирование погодных аномалий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 w:firstLine="0"/>
        <w:jc w:val="both"/>
        <w:rPr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Источник данных: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761"/>
        <w:numPr>
          <w:ilvl w:val="0"/>
          <w:numId w:val="36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API метеорологических служб;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761"/>
        <w:numPr>
          <w:ilvl w:val="0"/>
          <w:numId w:val="36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Данные с датчиков температуры и влажности воздуха;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761"/>
        <w:numPr>
          <w:ilvl w:val="0"/>
          <w:numId w:val="36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Исторические данные о засухах/наводнениях.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Bdr/>
        <w:spacing w:line="360" w:lineRule="auto"/>
        <w:ind w:firstLine="0"/>
        <w:jc w:val="both"/>
        <w:rPr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Операции над данными: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61"/>
        <w:numPr>
          <w:ilvl w:val="0"/>
          <w:numId w:val="3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Анализ временных рядов;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761"/>
        <w:numPr>
          <w:ilvl w:val="0"/>
          <w:numId w:val="3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Построение прогнозных моделей (нейросети);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761"/>
        <w:numPr>
          <w:ilvl w:val="0"/>
          <w:numId w:val="3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Генерация предупреждений для клиентов.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Bdr/>
        <w:spacing w:line="360" w:lineRule="auto"/>
        <w:ind w:firstLine="0"/>
        <w:jc w:val="both"/>
        <w:rPr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Потребитель данных: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761"/>
        <w:numPr>
          <w:ilvl w:val="0"/>
          <w:numId w:val="38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Отдел внедрения (уведомления клиентов);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761"/>
        <w:numPr>
          <w:ilvl w:val="0"/>
          <w:numId w:val="38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CRM (планирование поддержки);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761"/>
        <w:numPr>
          <w:ilvl w:val="0"/>
          <w:numId w:val="38"/>
        </w:numPr>
        <w:pBdr/>
        <w:spacing w:line="360" w:lineRule="auto"/>
        <w:ind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Разработка (интеграция алертов в платформу).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line="360" w:lineRule="auto"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Вывод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20" w:left="0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Внедрение ERP II в "АгроДата Технолоджи" позволяет связать данные с датчиков, аналитику, клиентские запросы и логистику в единую систему. Например, прогноз погоды (аналитика) автоматически влияет на рекомендации по поливу (CRM) и закупку датчиков (SCM). Это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повышает ценность платформы для клиентов и оптимизирует внутренние процессы.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213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5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57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29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1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73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45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7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898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0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213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5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57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29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1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73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45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7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898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213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5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57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29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1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73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45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7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898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213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5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57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29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1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73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45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7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898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2"/>
  </w:num>
  <w:num w:numId="2">
    <w:abstractNumId w:val="26"/>
  </w:num>
  <w:num w:numId="3">
    <w:abstractNumId w:val="16"/>
  </w:num>
  <w:num w:numId="4">
    <w:abstractNumId w:val="14"/>
  </w:num>
  <w:num w:numId="5">
    <w:abstractNumId w:val="9"/>
  </w:num>
  <w:num w:numId="6">
    <w:abstractNumId w:val="12"/>
  </w:num>
  <w:num w:numId="7">
    <w:abstractNumId w:val="24"/>
  </w:num>
  <w:num w:numId="8">
    <w:abstractNumId w:val="27"/>
  </w:num>
  <w:num w:numId="9">
    <w:abstractNumId w:val="11"/>
  </w:num>
  <w:num w:numId="10">
    <w:abstractNumId w:val="25"/>
  </w:num>
  <w:num w:numId="11">
    <w:abstractNumId w:val="1"/>
  </w:num>
  <w:num w:numId="12">
    <w:abstractNumId w:val="6"/>
  </w:num>
  <w:num w:numId="13">
    <w:abstractNumId w:val="3"/>
  </w:num>
  <w:num w:numId="14">
    <w:abstractNumId w:val="8"/>
  </w:num>
  <w:num w:numId="15">
    <w:abstractNumId w:val="5"/>
  </w:num>
  <w:num w:numId="16">
    <w:abstractNumId w:val="17"/>
  </w:num>
  <w:num w:numId="17">
    <w:abstractNumId w:val="10"/>
  </w:num>
  <w:num w:numId="18">
    <w:abstractNumId w:val="22"/>
  </w:num>
  <w:num w:numId="19">
    <w:abstractNumId w:val="23"/>
  </w:num>
  <w:num w:numId="20">
    <w:abstractNumId w:val="15"/>
  </w:num>
  <w:num w:numId="21">
    <w:abstractNumId w:val="4"/>
  </w:num>
  <w:num w:numId="22">
    <w:abstractNumId w:val="7"/>
  </w:num>
  <w:num w:numId="23">
    <w:abstractNumId w:val="21"/>
  </w:num>
  <w:num w:numId="24">
    <w:abstractNumId w:val="19"/>
  </w:num>
  <w:num w:numId="25">
    <w:abstractNumId w:val="20"/>
  </w:num>
  <w:num w:numId="26">
    <w:abstractNumId w:val="28"/>
  </w:num>
  <w:num w:numId="27">
    <w:abstractNumId w:val="29"/>
  </w:num>
  <w:num w:numId="28">
    <w:abstractNumId w:val="13"/>
  </w:num>
  <w:num w:numId="29">
    <w:abstractNumId w:val="18"/>
  </w:num>
  <w:num w:numId="30">
    <w:abstractNumId w:val="0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56"/>
    <w:next w:val="756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56"/>
    <w:next w:val="75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56"/>
    <w:next w:val="75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56"/>
    <w:next w:val="75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56"/>
    <w:next w:val="75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56"/>
    <w:next w:val="75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56"/>
    <w:next w:val="75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56"/>
    <w:next w:val="75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56"/>
    <w:next w:val="75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5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5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5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5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5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5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5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5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5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56"/>
    <w:next w:val="75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5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56"/>
    <w:next w:val="75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5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56"/>
    <w:next w:val="75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5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56"/>
    <w:next w:val="75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5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5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5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5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57"/>
    <w:link w:val="764"/>
    <w:uiPriority w:val="99"/>
    <w:pPr>
      <w:pBdr/>
      <w:spacing/>
      <w:ind/>
    </w:pPr>
  </w:style>
  <w:style w:type="character" w:styleId="178">
    <w:name w:val="Footer Char"/>
    <w:basedOn w:val="757"/>
    <w:link w:val="766"/>
    <w:uiPriority w:val="99"/>
    <w:pPr>
      <w:pBdr/>
      <w:spacing/>
      <w:ind/>
    </w:pPr>
  </w:style>
  <w:style w:type="paragraph" w:styleId="179">
    <w:name w:val="Caption"/>
    <w:basedOn w:val="756"/>
    <w:next w:val="75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5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5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5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5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5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5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5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56"/>
    <w:next w:val="756"/>
    <w:uiPriority w:val="39"/>
    <w:unhideWhenUsed/>
    <w:pPr>
      <w:pBdr/>
      <w:spacing w:after="100"/>
      <w:ind/>
    </w:pPr>
  </w:style>
  <w:style w:type="paragraph" w:styleId="189">
    <w:name w:val="toc 2"/>
    <w:basedOn w:val="756"/>
    <w:next w:val="756"/>
    <w:uiPriority w:val="39"/>
    <w:unhideWhenUsed/>
    <w:pPr>
      <w:pBdr/>
      <w:spacing w:after="100"/>
      <w:ind w:left="220"/>
    </w:pPr>
  </w:style>
  <w:style w:type="paragraph" w:styleId="190">
    <w:name w:val="toc 3"/>
    <w:basedOn w:val="756"/>
    <w:next w:val="756"/>
    <w:uiPriority w:val="39"/>
    <w:unhideWhenUsed/>
    <w:pPr>
      <w:pBdr/>
      <w:spacing w:after="100"/>
      <w:ind w:left="440"/>
    </w:pPr>
  </w:style>
  <w:style w:type="paragraph" w:styleId="191">
    <w:name w:val="toc 4"/>
    <w:basedOn w:val="756"/>
    <w:next w:val="756"/>
    <w:uiPriority w:val="39"/>
    <w:unhideWhenUsed/>
    <w:pPr>
      <w:pBdr/>
      <w:spacing w:after="100"/>
      <w:ind w:left="660"/>
    </w:pPr>
  </w:style>
  <w:style w:type="paragraph" w:styleId="192">
    <w:name w:val="toc 5"/>
    <w:basedOn w:val="756"/>
    <w:next w:val="756"/>
    <w:uiPriority w:val="39"/>
    <w:unhideWhenUsed/>
    <w:pPr>
      <w:pBdr/>
      <w:spacing w:after="100"/>
      <w:ind w:left="880"/>
    </w:pPr>
  </w:style>
  <w:style w:type="paragraph" w:styleId="193">
    <w:name w:val="toc 6"/>
    <w:basedOn w:val="756"/>
    <w:next w:val="756"/>
    <w:uiPriority w:val="39"/>
    <w:unhideWhenUsed/>
    <w:pPr>
      <w:pBdr/>
      <w:spacing w:after="100"/>
      <w:ind w:left="1100"/>
    </w:pPr>
  </w:style>
  <w:style w:type="paragraph" w:styleId="194">
    <w:name w:val="toc 7"/>
    <w:basedOn w:val="756"/>
    <w:next w:val="756"/>
    <w:uiPriority w:val="39"/>
    <w:unhideWhenUsed/>
    <w:pPr>
      <w:pBdr/>
      <w:spacing w:after="100"/>
      <w:ind w:left="1320"/>
    </w:pPr>
  </w:style>
  <w:style w:type="paragraph" w:styleId="195">
    <w:name w:val="toc 8"/>
    <w:basedOn w:val="756"/>
    <w:next w:val="756"/>
    <w:uiPriority w:val="39"/>
    <w:unhideWhenUsed/>
    <w:pPr>
      <w:pBdr/>
      <w:spacing w:after="100"/>
      <w:ind w:left="1540"/>
    </w:pPr>
  </w:style>
  <w:style w:type="paragraph" w:styleId="196">
    <w:name w:val="toc 9"/>
    <w:basedOn w:val="756"/>
    <w:next w:val="75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56"/>
    <w:next w:val="756"/>
    <w:uiPriority w:val="99"/>
    <w:unhideWhenUsed/>
    <w:pPr>
      <w:pBdr/>
      <w:spacing w:after="0" w:afterAutospacing="0"/>
      <w:ind/>
    </w:pPr>
  </w:style>
  <w:style w:type="paragraph" w:styleId="756" w:default="1">
    <w:name w:val="Normal"/>
    <w:qFormat/>
    <w:pPr>
      <w:pBdr/>
      <w:spacing/>
      <w:ind/>
    </w:pPr>
  </w:style>
  <w:style w:type="character" w:styleId="757" w:default="1">
    <w:name w:val="Default Paragraph Font"/>
    <w:uiPriority w:val="1"/>
    <w:semiHidden/>
    <w:unhideWhenUsed/>
    <w:pPr>
      <w:pBdr/>
      <w:spacing/>
      <w:ind/>
    </w:pPr>
  </w:style>
  <w:style w:type="table" w:styleId="75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9" w:default="1">
    <w:name w:val="No List"/>
    <w:uiPriority w:val="99"/>
    <w:semiHidden/>
    <w:unhideWhenUsed/>
    <w:pPr>
      <w:pBdr/>
      <w:spacing/>
      <w:ind/>
    </w:pPr>
  </w:style>
  <w:style w:type="table" w:styleId="760">
    <w:name w:val="Table Grid"/>
    <w:basedOn w:val="758"/>
    <w:uiPriority w:val="39"/>
    <w:pPr>
      <w:pBdr/>
      <w:spacing w:after="0" w:line="240" w:lineRule="auto"/>
      <w:ind/>
    </w:pPr>
    <w:rPr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61">
    <w:name w:val="List Paragraph"/>
    <w:basedOn w:val="756"/>
    <w:uiPriority w:val="34"/>
    <w:qFormat/>
    <w:pPr>
      <w:pBdr/>
      <w:spacing/>
      <w:ind w:left="720"/>
      <w:contextualSpacing w:val="true"/>
    </w:pPr>
  </w:style>
  <w:style w:type="character" w:styleId="762">
    <w:name w:val="Placeholder Text"/>
    <w:basedOn w:val="757"/>
    <w:uiPriority w:val="99"/>
    <w:semiHidden/>
    <w:pPr>
      <w:pBdr/>
      <w:spacing/>
      <w:ind/>
    </w:pPr>
    <w:rPr>
      <w:color w:val="808080"/>
    </w:rPr>
  </w:style>
  <w:style w:type="paragraph" w:styleId="763" w:customStyle="1">
    <w:name w:val="msonormal"/>
    <w:basedOn w:val="756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paragraph" w:styleId="764">
    <w:name w:val="Header"/>
    <w:basedOn w:val="756"/>
    <w:link w:val="76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65" w:customStyle="1">
    <w:name w:val="Верхний колонтитул Знак"/>
    <w:basedOn w:val="757"/>
    <w:link w:val="764"/>
    <w:uiPriority w:val="99"/>
    <w:pPr>
      <w:pBdr/>
      <w:spacing/>
      <w:ind/>
    </w:pPr>
  </w:style>
  <w:style w:type="paragraph" w:styleId="766">
    <w:name w:val="Footer"/>
    <w:basedOn w:val="756"/>
    <w:link w:val="76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67" w:customStyle="1">
    <w:name w:val="Нижний колонтитул Знак"/>
    <w:basedOn w:val="757"/>
    <w:link w:val="766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cp:keywords/>
  <dc:description/>
  <cp:revision>3</cp:revision>
  <dcterms:created xsi:type="dcterms:W3CDTF">2025-04-02T15:28:00Z</dcterms:created>
  <dcterms:modified xsi:type="dcterms:W3CDTF">2025-05-13T18:01:22Z</dcterms:modified>
</cp:coreProperties>
</file>