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EFC4E" w14:textId="27A12947" w:rsidR="00E22255" w:rsidRDefault="00000000" w:rsidP="00FF7767">
      <w:pPr>
        <w:spacing w:after="60"/>
        <w:jc w:val="center"/>
      </w:pPr>
      <w:r>
        <w:rPr>
          <w:i/>
          <w:iCs/>
        </w:rPr>
        <w:t>ST3131 Regression Analysis Assignment A03037401W Ng Zheng Chong</w:t>
      </w:r>
    </w:p>
    <w:p w14:paraId="44C2053E" w14:textId="77777777" w:rsidR="00E22255" w:rsidRDefault="00000000">
      <w:pPr>
        <w:spacing w:after="40"/>
        <w:jc w:val="center"/>
      </w:pPr>
      <w:r>
        <w:t>AY 2025/2026, Semester 2</w:t>
      </w:r>
    </w:p>
    <w:p w14:paraId="490304A7" w14:textId="77777777" w:rsidR="00E22255" w:rsidRDefault="00000000">
      <w:pPr>
        <w:pStyle w:val="Heading1"/>
        <w:spacing w:before="200" w:after="100"/>
      </w:pPr>
      <w:r>
        <w:t>Part 0: Introduction</w:t>
      </w:r>
    </w:p>
    <w:p w14:paraId="4DDB1FBB" w14:textId="7136C488" w:rsidR="00E22255" w:rsidRDefault="00000000">
      <w:pPr>
        <w:spacing w:before="80" w:after="80" w:line="276" w:lineRule="auto"/>
        <w:jc w:val="both"/>
      </w:pPr>
      <w:r>
        <w:t xml:space="preserve">The Singapore public housing (HDB) resale market is shaped by a complex interplay of physical characteristics, location, and lease tenure. The primary objective of this report is to identify the best-fitting linear regression model for predicting the </w:t>
      </w:r>
      <w:r>
        <w:rPr>
          <w:i/>
          <w:iCs/>
        </w:rPr>
        <w:t>resale price</w:t>
      </w:r>
      <w:r>
        <w:t xml:space="preserve"> of HDB flats based on the transaction data for July 2020. This goal is practically significant: an accurate pricing model supports buyers, sellers, valuers, and policymakers in making evidence-based decisions in one of the world's most densely transacted public housing markets. The dataset contains 2,456 observations extracted from data.gov.sg, each representing one completed resale transaction in July 2020. The response variable is </w:t>
      </w:r>
      <w:proofErr w:type="spellStart"/>
      <w:r>
        <w:rPr>
          <w:i/>
          <w:iCs/>
        </w:rPr>
        <w:t>resale_price</w:t>
      </w:r>
      <w:proofErr w:type="spellEnd"/>
      <w:r>
        <w:t xml:space="preserve"> (in SGD). Ten feature variables are available: </w:t>
      </w:r>
      <w:r>
        <w:rPr>
          <w:i/>
          <w:iCs/>
        </w:rPr>
        <w:t>month</w:t>
      </w:r>
      <w:r>
        <w:t xml:space="preserve">, </w:t>
      </w:r>
      <w:r>
        <w:rPr>
          <w:i/>
          <w:iCs/>
        </w:rPr>
        <w:t>town</w:t>
      </w:r>
      <w:r>
        <w:t xml:space="preserve">, </w:t>
      </w:r>
      <w:proofErr w:type="spellStart"/>
      <w:r>
        <w:rPr>
          <w:i/>
          <w:iCs/>
        </w:rPr>
        <w:t>flat_type</w:t>
      </w:r>
      <w:proofErr w:type="spellEnd"/>
      <w:r>
        <w:t xml:space="preserve">, </w:t>
      </w:r>
      <w:r>
        <w:rPr>
          <w:i/>
          <w:iCs/>
        </w:rPr>
        <w:t>block</w:t>
      </w:r>
      <w:r>
        <w:t xml:space="preserve">, </w:t>
      </w:r>
      <w:proofErr w:type="spellStart"/>
      <w:r>
        <w:rPr>
          <w:i/>
          <w:iCs/>
        </w:rPr>
        <w:t>street_name</w:t>
      </w:r>
      <w:proofErr w:type="spellEnd"/>
      <w:r>
        <w:t xml:space="preserve">, </w:t>
      </w:r>
      <w:proofErr w:type="spellStart"/>
      <w:r>
        <w:rPr>
          <w:i/>
          <w:iCs/>
        </w:rPr>
        <w:t>storey_range</w:t>
      </w:r>
      <w:proofErr w:type="spellEnd"/>
      <w:r>
        <w:t xml:space="preserve">, </w:t>
      </w:r>
      <w:proofErr w:type="spellStart"/>
      <w:r>
        <w:rPr>
          <w:i/>
          <w:iCs/>
        </w:rPr>
        <w:t>floor_area_sqm</w:t>
      </w:r>
      <w:proofErr w:type="spellEnd"/>
      <w:r>
        <w:t xml:space="preserve">, </w:t>
      </w:r>
      <w:proofErr w:type="spellStart"/>
      <w:r>
        <w:rPr>
          <w:i/>
          <w:iCs/>
        </w:rPr>
        <w:t>flat_model</w:t>
      </w:r>
      <w:proofErr w:type="spellEnd"/>
      <w:r>
        <w:t xml:space="preserve">, </w:t>
      </w:r>
      <w:proofErr w:type="spellStart"/>
      <w:r>
        <w:rPr>
          <w:i/>
          <w:iCs/>
        </w:rPr>
        <w:t>lease_commence_date</w:t>
      </w:r>
      <w:proofErr w:type="spellEnd"/>
      <w:r>
        <w:t xml:space="preserve">, and </w:t>
      </w:r>
      <w:proofErr w:type="spellStart"/>
      <w:r>
        <w:rPr>
          <w:i/>
          <w:iCs/>
        </w:rPr>
        <w:t>remaining_lease</w:t>
      </w:r>
      <w:proofErr w:type="spellEnd"/>
      <w:r>
        <w:t>. The report proceeds in two main parts. Part I presents an Exploratory Data Analysis (EDA) of the variables, examining distributions, relationships, and data-quality issues. Part II covers model building, beginning with an initial OLS model (M0) using all available regressors, followed by diagnostic checks and remediation, and concluding with a final selected model (M</w:t>
      </w:r>
      <w:r>
        <w:rPr>
          <w:vertAlign w:val="subscript"/>
        </w:rPr>
        <w:t>N</w:t>
      </w:r>
      <w:r>
        <w:t>). Model adequacy is evaluated through residual diagnostics, Variance Inflation Factor (VIF) analysis, and information criteria (AIC/BIC).</w:t>
      </w:r>
    </w:p>
    <w:p w14:paraId="1572D06B" w14:textId="74C01945" w:rsidR="00E22255" w:rsidRDefault="00000000" w:rsidP="000B7065">
      <w:pPr>
        <w:pStyle w:val="Heading1"/>
        <w:spacing w:before="200" w:after="100"/>
      </w:pPr>
      <w:r>
        <w:t>Part I: Exploratory Data Analysis</w:t>
      </w:r>
      <w:r>
        <w:rPr>
          <w:sz w:val="28"/>
          <w:szCs w:val="28"/>
        </w:rPr>
        <w:t xml:space="preserve"> </w:t>
      </w:r>
    </w:p>
    <w:p w14:paraId="54DF8B67" w14:textId="07CB978E" w:rsidR="000B7065" w:rsidRDefault="00000000" w:rsidP="000B7065">
      <w:pPr>
        <w:spacing w:before="80" w:after="80" w:line="276" w:lineRule="auto"/>
        <w:jc w:val="both"/>
      </w:pPr>
      <w:r>
        <w:t>Before analysis, the following pre-processing steps were applied. (</w:t>
      </w:r>
      <w:proofErr w:type="spellStart"/>
      <w:r>
        <w:t>i</w:t>
      </w:r>
      <w:proofErr w:type="spellEnd"/>
      <w:r>
        <w:t xml:space="preserve">) Two observations were removed: the sole </w:t>
      </w:r>
      <w:r>
        <w:rPr>
          <w:i/>
          <w:iCs/>
        </w:rPr>
        <w:t>MULTI-GENERATION</w:t>
      </w:r>
      <w:r>
        <w:t xml:space="preserve"> flat and the sole </w:t>
      </w:r>
      <w:r>
        <w:rPr>
          <w:i/>
          <w:iCs/>
        </w:rPr>
        <w:t>Type S2</w:t>
      </w:r>
      <w:r>
        <w:t xml:space="preserve"> flat model, each being a singleton class unusable for regression. This left </w:t>
      </w:r>
      <w:r>
        <w:rPr>
          <w:b/>
          <w:bCs/>
        </w:rPr>
        <w:t>2,454 observations</w:t>
      </w:r>
      <w:r>
        <w:t xml:space="preserve">. (ii) The </w:t>
      </w:r>
      <w:r>
        <w:rPr>
          <w:i/>
          <w:iCs/>
        </w:rPr>
        <w:t>month</w:t>
      </w:r>
      <w:r>
        <w:t xml:space="preserve"> column was dropped, as every record has the value 2020-07. (iii) Three high-cardinality or identifier columns (</w:t>
      </w:r>
      <w:r>
        <w:rPr>
          <w:i/>
          <w:iCs/>
        </w:rPr>
        <w:t>block</w:t>
      </w:r>
      <w:r>
        <w:t xml:space="preserve">, </w:t>
      </w:r>
      <w:proofErr w:type="spellStart"/>
      <w:r>
        <w:rPr>
          <w:i/>
          <w:iCs/>
        </w:rPr>
        <w:t>street_name</w:t>
      </w:r>
      <w:proofErr w:type="spellEnd"/>
      <w:r>
        <w:t xml:space="preserve">, and </w:t>
      </w:r>
      <w:proofErr w:type="spellStart"/>
      <w:r>
        <w:rPr>
          <w:i/>
          <w:iCs/>
        </w:rPr>
        <w:t>storey_range</w:t>
      </w:r>
      <w:proofErr w:type="spellEnd"/>
      <w:r>
        <w:t xml:space="preserve">) were removed or transformed. (iv) </w:t>
      </w:r>
      <w:proofErr w:type="spellStart"/>
      <w:r>
        <w:rPr>
          <w:i/>
          <w:iCs/>
        </w:rPr>
        <w:t>storey_range</w:t>
      </w:r>
      <w:proofErr w:type="spellEnd"/>
      <w:r>
        <w:t xml:space="preserve"> (a string such as '04 TO 06') was converted to a numeric </w:t>
      </w:r>
      <w:proofErr w:type="spellStart"/>
      <w:r>
        <w:rPr>
          <w:i/>
          <w:iCs/>
        </w:rPr>
        <w:t>average_storey</w:t>
      </w:r>
      <w:proofErr w:type="spellEnd"/>
      <w:r>
        <w:t xml:space="preserve"> by averaging the lower and upper bound of each range, providing an ordinal continuous proxy. (v) </w:t>
      </w:r>
      <w:proofErr w:type="spellStart"/>
      <w:r>
        <w:rPr>
          <w:i/>
          <w:iCs/>
        </w:rPr>
        <w:t>remaining_lease</w:t>
      </w:r>
      <w:proofErr w:type="spellEnd"/>
      <w:r>
        <w:t xml:space="preserve"> (stored as a string like '56 years 7 months') was parsed into a numeric </w:t>
      </w:r>
      <w:proofErr w:type="spellStart"/>
      <w:r>
        <w:rPr>
          <w:i/>
          <w:iCs/>
        </w:rPr>
        <w:t>remaining_lease_years</w:t>
      </w:r>
      <w:proofErr w:type="spellEnd"/>
      <w:r>
        <w:t xml:space="preserve"> variable in terms of years. (vi) </w:t>
      </w:r>
      <w:r>
        <w:rPr>
          <w:i/>
          <w:iCs/>
        </w:rPr>
        <w:t>town</w:t>
      </w:r>
      <w:r>
        <w:t xml:space="preserve"> (26 categories) was recoded into </w:t>
      </w:r>
      <w:r>
        <w:rPr>
          <w:i/>
          <w:iCs/>
        </w:rPr>
        <w:t>region</w:t>
      </w:r>
      <w:r>
        <w:t xml:space="preserve"> (5 categories: Central, North, North-East, East, West) using the Urban Redevelopment Authority's official planning regions, substantially reducing dimensionality while preserving geographic meaning. Thereafter, town, block, </w:t>
      </w:r>
      <w:proofErr w:type="spellStart"/>
      <w:r>
        <w:t>street_name</w:t>
      </w:r>
      <w:proofErr w:type="spellEnd"/>
      <w:r>
        <w:t xml:space="preserve">, </w:t>
      </w:r>
      <w:proofErr w:type="spellStart"/>
      <w:r>
        <w:t>storey_range</w:t>
      </w:r>
      <w:proofErr w:type="spellEnd"/>
      <w:r>
        <w:t xml:space="preserve">, </w:t>
      </w:r>
      <w:proofErr w:type="spellStart"/>
      <w:r>
        <w:t>remaining_lease</w:t>
      </w:r>
      <w:proofErr w:type="spellEnd"/>
      <w:r>
        <w:t xml:space="preserve"> were dropped. </w:t>
      </w:r>
    </w:p>
    <w:p w14:paraId="640E354F" w14:textId="77777777" w:rsidR="00E22255" w:rsidRDefault="00000000">
      <w:pPr>
        <w:spacing w:before="80" w:after="80" w:line="276" w:lineRule="auto"/>
        <w:jc w:val="both"/>
      </w:pPr>
      <w:r>
        <w:t xml:space="preserve">The raw </w:t>
      </w:r>
      <w:proofErr w:type="spellStart"/>
      <w:r>
        <w:rPr>
          <w:i/>
          <w:iCs/>
        </w:rPr>
        <w:t>resale_price</w:t>
      </w:r>
      <w:proofErr w:type="spellEnd"/>
      <w:r>
        <w:t xml:space="preserve"> distribution is right-skewed (Figure 1), with a long tail of high-value flats (mainly Executive and premium Central-region units). A log transformation, ln(</w:t>
      </w:r>
      <w:proofErr w:type="spellStart"/>
      <w:r>
        <w:rPr>
          <w:i/>
          <w:iCs/>
        </w:rPr>
        <w:t>resale_price</w:t>
      </w:r>
      <w:proofErr w:type="spellEnd"/>
      <w:r>
        <w:t>), produced a visibly more symmetric, approximately normal distribution, justifying its use as the response in all subsequent models.</w:t>
      </w:r>
    </w:p>
    <w:p w14:paraId="53AC8DD5" w14:textId="233E610A" w:rsidR="00FC2F11" w:rsidRDefault="00FC2F11" w:rsidP="00FC2F11">
      <w:pPr>
        <w:spacing w:before="80" w:after="80" w:line="276" w:lineRule="auto"/>
        <w:jc w:val="center"/>
      </w:pPr>
      <w:r>
        <w:rPr>
          <w:noProof/>
        </w:rPr>
        <w:lastRenderedPageBreak/>
        <w:drawing>
          <wp:inline distT="0" distB="0" distL="0" distR="0" wp14:anchorId="0EB36DE3" wp14:editId="6F652F92">
            <wp:extent cx="1981480" cy="1591475"/>
            <wp:effectExtent l="0" t="0" r="0" b="0"/>
            <wp:docPr id="601680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80288" name=""/>
                    <pic:cNvPicPr/>
                  </pic:nvPicPr>
                  <pic:blipFill>
                    <a:blip r:embed="rId7"/>
                    <a:stretch>
                      <a:fillRect/>
                    </a:stretch>
                  </pic:blipFill>
                  <pic:spPr>
                    <a:xfrm>
                      <a:off x="0" y="0"/>
                      <a:ext cx="2015814" cy="1619051"/>
                    </a:xfrm>
                    <a:prstGeom prst="rect">
                      <a:avLst/>
                    </a:prstGeom>
                  </pic:spPr>
                </pic:pic>
              </a:graphicData>
            </a:graphic>
          </wp:inline>
        </w:drawing>
      </w:r>
      <w:r>
        <w:rPr>
          <w:noProof/>
        </w:rPr>
        <w:drawing>
          <wp:inline distT="0" distB="0" distL="0" distR="0" wp14:anchorId="2B1D8577" wp14:editId="72231886">
            <wp:extent cx="1981264" cy="1591300"/>
            <wp:effectExtent l="0" t="0" r="0" b="0"/>
            <wp:docPr id="456595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95410" name=""/>
                    <pic:cNvPicPr/>
                  </pic:nvPicPr>
                  <pic:blipFill>
                    <a:blip r:embed="rId8"/>
                    <a:stretch>
                      <a:fillRect/>
                    </a:stretch>
                  </pic:blipFill>
                  <pic:spPr>
                    <a:xfrm>
                      <a:off x="0" y="0"/>
                      <a:ext cx="2042413" cy="1640413"/>
                    </a:xfrm>
                    <a:prstGeom prst="rect">
                      <a:avLst/>
                    </a:prstGeom>
                  </pic:spPr>
                </pic:pic>
              </a:graphicData>
            </a:graphic>
          </wp:inline>
        </w:drawing>
      </w:r>
    </w:p>
    <w:p w14:paraId="5B526A1D" w14:textId="1E22FED3" w:rsidR="00FC2F11" w:rsidRDefault="00FC2F11" w:rsidP="00FC2F11">
      <w:pPr>
        <w:spacing w:before="80" w:after="80" w:line="276" w:lineRule="auto"/>
        <w:jc w:val="center"/>
        <w:rPr>
          <w:i/>
          <w:iCs/>
          <w:sz w:val="22"/>
          <w:szCs w:val="22"/>
        </w:rPr>
      </w:pPr>
      <w:r>
        <w:rPr>
          <w:i/>
          <w:iCs/>
          <w:sz w:val="22"/>
          <w:szCs w:val="22"/>
        </w:rPr>
        <w:t xml:space="preserve">Figure 1: Histogram of </w:t>
      </w:r>
      <w:proofErr w:type="spellStart"/>
      <w:r>
        <w:rPr>
          <w:i/>
          <w:iCs/>
          <w:sz w:val="22"/>
          <w:szCs w:val="22"/>
        </w:rPr>
        <w:t>resale_price</w:t>
      </w:r>
      <w:proofErr w:type="spellEnd"/>
      <w:r>
        <w:rPr>
          <w:i/>
          <w:iCs/>
          <w:sz w:val="22"/>
          <w:szCs w:val="22"/>
        </w:rPr>
        <w:t xml:space="preserve"> and log(</w:t>
      </w:r>
      <w:proofErr w:type="spellStart"/>
      <w:r>
        <w:rPr>
          <w:i/>
          <w:iCs/>
          <w:sz w:val="22"/>
          <w:szCs w:val="22"/>
        </w:rPr>
        <w:t>resale_price</w:t>
      </w:r>
      <w:proofErr w:type="spellEnd"/>
      <w:r>
        <w:rPr>
          <w:i/>
          <w:iCs/>
          <w:sz w:val="22"/>
          <w:szCs w:val="22"/>
        </w:rPr>
        <w:t>)</w:t>
      </w:r>
    </w:p>
    <w:p w14:paraId="584492E2" w14:textId="590B3BBE" w:rsidR="000B7065" w:rsidRDefault="000B7065" w:rsidP="000B7065">
      <w:pPr>
        <w:spacing w:before="80" w:after="80" w:line="276" w:lineRule="auto"/>
        <w:jc w:val="both"/>
      </w:pPr>
      <w:r>
        <w:t>Several important patterns emerged from descriptive plots (Figure 2):</w:t>
      </w:r>
    </w:p>
    <w:p w14:paraId="59C3C53C" w14:textId="77777777" w:rsidR="000B7065" w:rsidRDefault="000B7065" w:rsidP="000B7065">
      <w:pPr>
        <w:pStyle w:val="ListParagraph"/>
        <w:numPr>
          <w:ilvl w:val="0"/>
          <w:numId w:val="2"/>
        </w:numPr>
        <w:spacing w:before="60" w:after="40"/>
      </w:pPr>
      <w:proofErr w:type="spellStart"/>
      <w:r>
        <w:rPr>
          <w:b/>
          <w:bCs/>
        </w:rPr>
        <w:t>flat_type</w:t>
      </w:r>
      <w:proofErr w:type="spellEnd"/>
      <w:r>
        <w:rPr>
          <w:b/>
          <w:bCs/>
        </w:rPr>
        <w:t xml:space="preserve">: </w:t>
      </w:r>
      <w:r>
        <w:t>Box plots reveal a clear positive gradient, 1 ROOM &lt; 2 ROOM &lt; 3 ROOM &lt; 4 ROOM &lt; 5 ROOM &lt; EXECUTIVE, reflecting the strong size-price relationship.</w:t>
      </w:r>
    </w:p>
    <w:p w14:paraId="46728688" w14:textId="77777777" w:rsidR="000B7065" w:rsidRDefault="000B7065" w:rsidP="000B7065">
      <w:pPr>
        <w:pStyle w:val="ListParagraph"/>
        <w:numPr>
          <w:ilvl w:val="0"/>
          <w:numId w:val="2"/>
        </w:numPr>
        <w:spacing w:before="40" w:after="40"/>
      </w:pPr>
      <w:proofErr w:type="spellStart"/>
      <w:r>
        <w:rPr>
          <w:b/>
          <w:bCs/>
        </w:rPr>
        <w:t>floor_area_sqm</w:t>
      </w:r>
      <w:proofErr w:type="spellEnd"/>
      <w:r>
        <w:rPr>
          <w:b/>
          <w:bCs/>
        </w:rPr>
        <w:t xml:space="preserve">: </w:t>
      </w:r>
      <w:r>
        <w:t xml:space="preserve">A positive linear association with </w:t>
      </w:r>
      <w:proofErr w:type="spellStart"/>
      <w:r>
        <w:rPr>
          <w:i/>
          <w:iCs/>
        </w:rPr>
        <w:t>resale_price</w:t>
      </w:r>
      <w:proofErr w:type="spellEnd"/>
      <w:r>
        <w:t xml:space="preserve"> is evident, though residual variance appears to fan out at larger floor areas, suggesting mild heteroscedasticity.</w:t>
      </w:r>
    </w:p>
    <w:p w14:paraId="329FF349" w14:textId="77777777" w:rsidR="000B7065" w:rsidRDefault="000B7065" w:rsidP="000B7065">
      <w:pPr>
        <w:pStyle w:val="ListParagraph"/>
        <w:numPr>
          <w:ilvl w:val="0"/>
          <w:numId w:val="2"/>
        </w:numPr>
        <w:spacing w:before="40" w:after="40"/>
      </w:pPr>
      <w:proofErr w:type="spellStart"/>
      <w:r>
        <w:rPr>
          <w:b/>
          <w:bCs/>
        </w:rPr>
        <w:t>average_storey</w:t>
      </w:r>
      <w:proofErr w:type="spellEnd"/>
      <w:r>
        <w:rPr>
          <w:b/>
          <w:bCs/>
        </w:rPr>
        <w:t xml:space="preserve">: </w:t>
      </w:r>
      <w:r>
        <w:t>A weaker but positive relationship exists. Most observations cluster below storey 20, with sparse data at higher floors.</w:t>
      </w:r>
    </w:p>
    <w:p w14:paraId="3D45163B" w14:textId="77777777" w:rsidR="000B7065" w:rsidRDefault="000B7065" w:rsidP="000B7065">
      <w:pPr>
        <w:pStyle w:val="ListParagraph"/>
        <w:numPr>
          <w:ilvl w:val="0"/>
          <w:numId w:val="2"/>
        </w:numPr>
        <w:spacing w:before="40" w:after="40"/>
      </w:pPr>
      <w:proofErr w:type="spellStart"/>
      <w:r>
        <w:rPr>
          <w:b/>
          <w:bCs/>
        </w:rPr>
        <w:t>lease_commence_date</w:t>
      </w:r>
      <w:proofErr w:type="spellEnd"/>
      <w:r>
        <w:rPr>
          <w:b/>
          <w:bCs/>
        </w:rPr>
        <w:t xml:space="preserve"> / </w:t>
      </w:r>
      <w:proofErr w:type="spellStart"/>
      <w:r>
        <w:rPr>
          <w:b/>
          <w:bCs/>
        </w:rPr>
        <w:t>remaining_lease_years</w:t>
      </w:r>
      <w:proofErr w:type="spellEnd"/>
      <w:r>
        <w:rPr>
          <w:b/>
          <w:bCs/>
        </w:rPr>
        <w:t xml:space="preserve">: </w:t>
      </w:r>
      <w:r>
        <w:t xml:space="preserve">Newer leases command higher prices. A notable price spike occurs at 2018 commencement. Critically, these two variables are near-perfectly collinear (Chi-squared test of independence, p &lt; 0.05), as </w:t>
      </w:r>
      <w:proofErr w:type="spellStart"/>
      <w:r>
        <w:rPr>
          <w:i/>
          <w:iCs/>
        </w:rPr>
        <w:t>remaining_lease</w:t>
      </w:r>
      <w:proofErr w:type="spellEnd"/>
      <w:r>
        <w:t xml:space="preserve"> is algebraically determined by </w:t>
      </w:r>
      <w:proofErr w:type="spellStart"/>
      <w:r>
        <w:rPr>
          <w:i/>
          <w:iCs/>
        </w:rPr>
        <w:t>lease_commence_date</w:t>
      </w:r>
      <w:proofErr w:type="spellEnd"/>
      <w:r>
        <w:t xml:space="preserve"> given a fixed 99-year maximum lease.</w:t>
      </w:r>
    </w:p>
    <w:p w14:paraId="6905E06D" w14:textId="1C27F659" w:rsidR="00FC2F11" w:rsidRDefault="00FC2F11" w:rsidP="000B7065">
      <w:pPr>
        <w:pStyle w:val="Heading2"/>
        <w:spacing w:after="0"/>
      </w:pPr>
      <w:r>
        <w:rPr>
          <w:noProof/>
        </w:rPr>
        <w:drawing>
          <wp:inline distT="0" distB="0" distL="0" distR="0" wp14:anchorId="21E60083" wp14:editId="7C64E8B2">
            <wp:extent cx="2103760" cy="1306293"/>
            <wp:effectExtent l="0" t="0" r="4445" b="1905"/>
            <wp:docPr id="1495167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67020" name=""/>
                    <pic:cNvPicPr/>
                  </pic:nvPicPr>
                  <pic:blipFill>
                    <a:blip r:embed="rId9"/>
                    <a:stretch>
                      <a:fillRect/>
                    </a:stretch>
                  </pic:blipFill>
                  <pic:spPr>
                    <a:xfrm>
                      <a:off x="0" y="0"/>
                      <a:ext cx="2239205" cy="1390395"/>
                    </a:xfrm>
                    <a:prstGeom prst="rect">
                      <a:avLst/>
                    </a:prstGeom>
                  </pic:spPr>
                </pic:pic>
              </a:graphicData>
            </a:graphic>
          </wp:inline>
        </w:drawing>
      </w:r>
      <w:r>
        <w:rPr>
          <w:noProof/>
        </w:rPr>
        <w:drawing>
          <wp:inline distT="0" distB="0" distL="0" distR="0" wp14:anchorId="5AA736FC" wp14:editId="54FFF4FC">
            <wp:extent cx="2004060" cy="1302042"/>
            <wp:effectExtent l="0" t="0" r="2540" b="6350"/>
            <wp:docPr id="163254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44744" name=""/>
                    <pic:cNvPicPr/>
                  </pic:nvPicPr>
                  <pic:blipFill>
                    <a:blip r:embed="rId10"/>
                    <a:stretch>
                      <a:fillRect/>
                    </a:stretch>
                  </pic:blipFill>
                  <pic:spPr>
                    <a:xfrm>
                      <a:off x="0" y="0"/>
                      <a:ext cx="2103928" cy="1366927"/>
                    </a:xfrm>
                    <a:prstGeom prst="rect">
                      <a:avLst/>
                    </a:prstGeom>
                  </pic:spPr>
                </pic:pic>
              </a:graphicData>
            </a:graphic>
          </wp:inline>
        </w:drawing>
      </w:r>
      <w:r>
        <w:rPr>
          <w:noProof/>
        </w:rPr>
        <w:drawing>
          <wp:inline distT="0" distB="0" distL="0" distR="0" wp14:anchorId="44226F73" wp14:editId="41442E54">
            <wp:extent cx="2192117" cy="1307658"/>
            <wp:effectExtent l="0" t="0" r="5080" b="635"/>
            <wp:docPr id="116277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78479" name=""/>
                    <pic:cNvPicPr/>
                  </pic:nvPicPr>
                  <pic:blipFill>
                    <a:blip r:embed="rId11"/>
                    <a:stretch>
                      <a:fillRect/>
                    </a:stretch>
                  </pic:blipFill>
                  <pic:spPr>
                    <a:xfrm>
                      <a:off x="0" y="0"/>
                      <a:ext cx="2272699" cy="1355727"/>
                    </a:xfrm>
                    <a:prstGeom prst="rect">
                      <a:avLst/>
                    </a:prstGeom>
                  </pic:spPr>
                </pic:pic>
              </a:graphicData>
            </a:graphic>
          </wp:inline>
        </w:drawing>
      </w:r>
    </w:p>
    <w:p w14:paraId="664D899B" w14:textId="429F7161" w:rsidR="00FC2F11" w:rsidRDefault="00ED0D03" w:rsidP="006371FD">
      <w:pPr>
        <w:pStyle w:val="Heading2"/>
        <w:spacing w:after="0"/>
      </w:pPr>
      <w:r w:rsidRPr="00ED0D03">
        <w:rPr>
          <w:noProof/>
        </w:rPr>
        <w:drawing>
          <wp:inline distT="0" distB="0" distL="0" distR="0" wp14:anchorId="16D1BE6B" wp14:editId="0B705945">
            <wp:extent cx="2084261" cy="1244649"/>
            <wp:effectExtent l="0" t="0" r="0" b="0"/>
            <wp:docPr id="1115930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30081" name=""/>
                    <pic:cNvPicPr/>
                  </pic:nvPicPr>
                  <pic:blipFill>
                    <a:blip r:embed="rId12"/>
                    <a:stretch>
                      <a:fillRect/>
                    </a:stretch>
                  </pic:blipFill>
                  <pic:spPr>
                    <a:xfrm>
                      <a:off x="0" y="0"/>
                      <a:ext cx="2120518" cy="1266301"/>
                    </a:xfrm>
                    <a:prstGeom prst="rect">
                      <a:avLst/>
                    </a:prstGeom>
                  </pic:spPr>
                </pic:pic>
              </a:graphicData>
            </a:graphic>
          </wp:inline>
        </w:drawing>
      </w:r>
      <w:r w:rsidR="000B7065">
        <w:rPr>
          <w:noProof/>
        </w:rPr>
        <w:drawing>
          <wp:inline distT="0" distB="0" distL="0" distR="0" wp14:anchorId="5C8351AA" wp14:editId="79CD60A4">
            <wp:extent cx="2109355" cy="1258289"/>
            <wp:effectExtent l="0" t="0" r="0" b="0"/>
            <wp:docPr id="122129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92173" name=""/>
                    <pic:cNvPicPr/>
                  </pic:nvPicPr>
                  <pic:blipFill>
                    <a:blip r:embed="rId13"/>
                    <a:stretch>
                      <a:fillRect/>
                    </a:stretch>
                  </pic:blipFill>
                  <pic:spPr>
                    <a:xfrm>
                      <a:off x="0" y="0"/>
                      <a:ext cx="2173999" cy="1296851"/>
                    </a:xfrm>
                    <a:prstGeom prst="rect">
                      <a:avLst/>
                    </a:prstGeom>
                  </pic:spPr>
                </pic:pic>
              </a:graphicData>
            </a:graphic>
          </wp:inline>
        </w:drawing>
      </w:r>
      <w:r w:rsidR="000B7065">
        <w:rPr>
          <w:noProof/>
        </w:rPr>
        <w:drawing>
          <wp:inline distT="0" distB="0" distL="0" distR="0" wp14:anchorId="10E3E757" wp14:editId="28DA2E69">
            <wp:extent cx="2087066" cy="1244993"/>
            <wp:effectExtent l="0" t="0" r="0" b="0"/>
            <wp:docPr id="179815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50887" name=""/>
                    <pic:cNvPicPr/>
                  </pic:nvPicPr>
                  <pic:blipFill>
                    <a:blip r:embed="rId14"/>
                    <a:stretch>
                      <a:fillRect/>
                    </a:stretch>
                  </pic:blipFill>
                  <pic:spPr>
                    <a:xfrm>
                      <a:off x="0" y="0"/>
                      <a:ext cx="2133078" cy="1272441"/>
                    </a:xfrm>
                    <a:prstGeom prst="rect">
                      <a:avLst/>
                    </a:prstGeom>
                  </pic:spPr>
                </pic:pic>
              </a:graphicData>
            </a:graphic>
          </wp:inline>
        </w:drawing>
      </w:r>
      <w:r w:rsidR="000B7065">
        <w:rPr>
          <w:noProof/>
        </w:rPr>
        <w:drawing>
          <wp:inline distT="0" distB="0" distL="0" distR="0" wp14:anchorId="743BA7B0" wp14:editId="32179277">
            <wp:extent cx="2091791" cy="1247812"/>
            <wp:effectExtent l="0" t="0" r="3810" b="0"/>
            <wp:docPr id="7464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3587" name=""/>
                    <pic:cNvPicPr/>
                  </pic:nvPicPr>
                  <pic:blipFill>
                    <a:blip r:embed="rId15"/>
                    <a:stretch>
                      <a:fillRect/>
                    </a:stretch>
                  </pic:blipFill>
                  <pic:spPr>
                    <a:xfrm>
                      <a:off x="0" y="0"/>
                      <a:ext cx="2158772" cy="1287768"/>
                    </a:xfrm>
                    <a:prstGeom prst="rect">
                      <a:avLst/>
                    </a:prstGeom>
                  </pic:spPr>
                </pic:pic>
              </a:graphicData>
            </a:graphic>
          </wp:inline>
        </w:drawing>
      </w:r>
    </w:p>
    <w:p w14:paraId="6DA1F19E" w14:textId="434D5756" w:rsidR="00DC727C" w:rsidRDefault="00DC727C" w:rsidP="00DC727C">
      <w:pPr>
        <w:spacing w:before="80" w:after="80" w:line="276" w:lineRule="auto"/>
        <w:jc w:val="center"/>
        <w:rPr>
          <w:i/>
          <w:iCs/>
          <w:sz w:val="22"/>
          <w:szCs w:val="22"/>
        </w:rPr>
      </w:pPr>
      <w:r>
        <w:rPr>
          <w:i/>
          <w:iCs/>
          <w:sz w:val="22"/>
          <w:szCs w:val="22"/>
        </w:rPr>
        <w:t>Figure 2: Plots between predictor and response variables</w:t>
      </w:r>
    </w:p>
    <w:p w14:paraId="47D1452D" w14:textId="77777777" w:rsidR="006371FD" w:rsidRPr="00DC727C" w:rsidRDefault="006371FD" w:rsidP="00DC727C">
      <w:pPr>
        <w:spacing w:before="80" w:after="80" w:line="276" w:lineRule="auto"/>
        <w:jc w:val="center"/>
        <w:rPr>
          <w:i/>
          <w:iCs/>
          <w:sz w:val="22"/>
          <w:szCs w:val="22"/>
        </w:rPr>
      </w:pPr>
    </w:p>
    <w:p w14:paraId="7D235B1D" w14:textId="77777777" w:rsidR="00E22255" w:rsidRDefault="00000000">
      <w:pPr>
        <w:pStyle w:val="Heading1"/>
        <w:spacing w:before="200" w:after="100"/>
      </w:pPr>
      <w:r>
        <w:lastRenderedPageBreak/>
        <w:t>Part II: Model Building</w:t>
      </w:r>
    </w:p>
    <w:p w14:paraId="506B530F" w14:textId="77777777" w:rsidR="00E22255" w:rsidRDefault="00000000">
      <w:pPr>
        <w:pStyle w:val="Heading2"/>
      </w:pPr>
      <w:r>
        <w:t>2.1 Initial Model M₀: Full OLS with Log-Transformed Response</w:t>
      </w:r>
    </w:p>
    <w:p w14:paraId="405E3E7E" w14:textId="17F27762" w:rsidR="00E22255" w:rsidRDefault="00000000">
      <w:pPr>
        <w:spacing w:before="80" w:after="80" w:line="276" w:lineRule="auto"/>
        <w:jc w:val="both"/>
      </w:pPr>
      <w:r>
        <w:t>The initial model M₀ regresses ln(</w:t>
      </w:r>
      <w:proofErr w:type="spellStart"/>
      <w:r>
        <w:rPr>
          <w:i/>
          <w:iCs/>
        </w:rPr>
        <w:t>resale_price</w:t>
      </w:r>
      <w:proofErr w:type="spellEnd"/>
      <w:r>
        <w:t xml:space="preserve">) on all available post-processing predictors: </w:t>
      </w:r>
      <w:proofErr w:type="spellStart"/>
      <w:r>
        <w:rPr>
          <w:i/>
          <w:iCs/>
        </w:rPr>
        <w:t>flat_type</w:t>
      </w:r>
      <w:proofErr w:type="spellEnd"/>
      <w:r>
        <w:t xml:space="preserve">, </w:t>
      </w:r>
      <w:proofErr w:type="spellStart"/>
      <w:r>
        <w:rPr>
          <w:i/>
          <w:iCs/>
        </w:rPr>
        <w:t>flat_model</w:t>
      </w:r>
      <w:proofErr w:type="spellEnd"/>
      <w:r>
        <w:t xml:space="preserve">, </w:t>
      </w:r>
      <w:r>
        <w:rPr>
          <w:i/>
          <w:iCs/>
        </w:rPr>
        <w:t>region</w:t>
      </w:r>
      <w:r>
        <w:t xml:space="preserve">, </w:t>
      </w:r>
      <w:proofErr w:type="spellStart"/>
      <w:r>
        <w:rPr>
          <w:i/>
          <w:iCs/>
        </w:rPr>
        <w:t>floor_area_sqm</w:t>
      </w:r>
      <w:proofErr w:type="spellEnd"/>
      <w:r>
        <w:t xml:space="preserve">, </w:t>
      </w:r>
      <w:proofErr w:type="spellStart"/>
      <w:r>
        <w:rPr>
          <w:i/>
          <w:iCs/>
        </w:rPr>
        <w:t>average_storey</w:t>
      </w:r>
      <w:proofErr w:type="spellEnd"/>
      <w:r>
        <w:t xml:space="preserve">, </w:t>
      </w:r>
      <w:proofErr w:type="spellStart"/>
      <w:r>
        <w:rPr>
          <w:i/>
          <w:iCs/>
        </w:rPr>
        <w:t>remaining_lease_years</w:t>
      </w:r>
      <w:proofErr w:type="spellEnd"/>
      <w:r>
        <w:t xml:space="preserve">, and </w:t>
      </w:r>
      <w:proofErr w:type="spellStart"/>
      <w:r>
        <w:rPr>
          <w:i/>
          <w:iCs/>
        </w:rPr>
        <w:t>lease_commence_date</w:t>
      </w:r>
      <w:proofErr w:type="spellEnd"/>
      <w:r>
        <w:t>. Categorical predictors are one-hot encoded yielding 2</w:t>
      </w:r>
      <w:r w:rsidR="00F25F82">
        <w:t>7</w:t>
      </w:r>
      <w:r>
        <w:t xml:space="preserve"> parameters (</w:t>
      </w:r>
      <w:r w:rsidR="00F25F82">
        <w:t>ex</w:t>
      </w:r>
      <w:r>
        <w:t>cluding intercept).</w:t>
      </w:r>
    </w:p>
    <w:p w14:paraId="09BA0BF7" w14:textId="475C4FE3" w:rsidR="004529C3" w:rsidRDefault="004529C3" w:rsidP="00DC727C">
      <w:pPr>
        <w:spacing w:before="80" w:after="80" w:line="276" w:lineRule="auto"/>
        <w:jc w:val="center"/>
      </w:pPr>
      <w:r>
        <w:rPr>
          <w:noProof/>
        </w:rPr>
        <w:drawing>
          <wp:inline distT="0" distB="0" distL="0" distR="0" wp14:anchorId="4C5C6CF0" wp14:editId="16B87416">
            <wp:extent cx="2511083" cy="938917"/>
            <wp:effectExtent l="0" t="0" r="3810" b="1270"/>
            <wp:docPr id="42793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37050" name="Picture 42793705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79447" cy="1001870"/>
                    </a:xfrm>
                    <a:prstGeom prst="rect">
                      <a:avLst/>
                    </a:prstGeom>
                  </pic:spPr>
                </pic:pic>
              </a:graphicData>
            </a:graphic>
          </wp:inline>
        </w:drawing>
      </w:r>
      <w:r>
        <w:rPr>
          <w:noProof/>
        </w:rPr>
        <w:drawing>
          <wp:inline distT="0" distB="0" distL="0" distR="0" wp14:anchorId="3B718ED5" wp14:editId="5DAB7BC7">
            <wp:extent cx="1849902" cy="1343382"/>
            <wp:effectExtent l="0" t="0" r="4445" b="3175"/>
            <wp:docPr id="261150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50197" name="Picture 26115019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16802" cy="1391964"/>
                    </a:xfrm>
                    <a:prstGeom prst="rect">
                      <a:avLst/>
                    </a:prstGeom>
                  </pic:spPr>
                </pic:pic>
              </a:graphicData>
            </a:graphic>
          </wp:inline>
        </w:drawing>
      </w:r>
    </w:p>
    <w:p w14:paraId="07E7BB9A" w14:textId="77777777" w:rsidR="00E22255" w:rsidRDefault="00E22255">
      <w:pPr>
        <w:spacing w:line="120" w:lineRule="auto"/>
        <w:jc w:val="both"/>
      </w:pPr>
    </w:p>
    <w:p w14:paraId="54252FD2" w14:textId="056E69E9" w:rsidR="00E22255" w:rsidRDefault="00000000">
      <w:pPr>
        <w:spacing w:before="60" w:after="120"/>
        <w:jc w:val="center"/>
        <w:rPr>
          <w:i/>
          <w:iCs/>
          <w:sz w:val="22"/>
          <w:szCs w:val="22"/>
        </w:rPr>
      </w:pPr>
      <w:r>
        <w:rPr>
          <w:i/>
          <w:iCs/>
          <w:sz w:val="22"/>
          <w:szCs w:val="22"/>
        </w:rPr>
        <w:t>Table 2: M₀ overall model statistics.</w:t>
      </w:r>
    </w:p>
    <w:p w14:paraId="6C3123A4" w14:textId="30FDD3B1" w:rsidR="004529C3" w:rsidRPr="00DC727C" w:rsidRDefault="00206421" w:rsidP="00DC727C">
      <w:pPr>
        <w:spacing w:before="60" w:after="120"/>
        <w:jc w:val="center"/>
        <w:rPr>
          <w:sz w:val="22"/>
          <w:szCs w:val="22"/>
        </w:rPr>
      </w:pPr>
      <w:r>
        <w:rPr>
          <w:noProof/>
          <w:sz w:val="22"/>
          <w:szCs w:val="22"/>
        </w:rPr>
        <w:drawing>
          <wp:inline distT="0" distB="0" distL="0" distR="0" wp14:anchorId="14AF0558" wp14:editId="49145C7B">
            <wp:extent cx="3594295" cy="993423"/>
            <wp:effectExtent l="0" t="0" r="0" b="0"/>
            <wp:docPr id="16529778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77898" name="Picture 16529778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20027" cy="1028174"/>
                    </a:xfrm>
                    <a:prstGeom prst="rect">
                      <a:avLst/>
                    </a:prstGeom>
                  </pic:spPr>
                </pic:pic>
              </a:graphicData>
            </a:graphic>
          </wp:inline>
        </w:drawing>
      </w:r>
    </w:p>
    <w:p w14:paraId="1B04E737" w14:textId="2EFB7BF8" w:rsidR="004529C3" w:rsidRDefault="004529C3">
      <w:pPr>
        <w:spacing w:before="60" w:after="120"/>
        <w:jc w:val="center"/>
      </w:pPr>
      <w:r>
        <w:rPr>
          <w:i/>
          <w:iCs/>
          <w:sz w:val="22"/>
          <w:szCs w:val="22"/>
        </w:rPr>
        <w:t>Table 3: M₀ ANOVA</w:t>
      </w:r>
    </w:p>
    <w:p w14:paraId="381FA6BE" w14:textId="34C9062E" w:rsidR="00E22255" w:rsidRDefault="00000000" w:rsidP="00664EDE">
      <w:pPr>
        <w:spacing w:before="80" w:after="80" w:line="276" w:lineRule="auto"/>
        <w:jc w:val="both"/>
      </w:pPr>
      <w:r>
        <w:t xml:space="preserve">The F-statistic of 552.5 (p &lt; 0.001) indicates that the model as a whole is highly significant. The R² of 0.860 indicate that the model explains approximately </w:t>
      </w:r>
      <w:r>
        <w:rPr>
          <w:b/>
          <w:bCs/>
        </w:rPr>
        <w:t>86%</w:t>
      </w:r>
      <w:r>
        <w:t xml:space="preserve"> of the variation in log resale price. </w:t>
      </w:r>
    </w:p>
    <w:p w14:paraId="314C94E0" w14:textId="77777777" w:rsidR="00E22255" w:rsidRDefault="00000000">
      <w:pPr>
        <w:spacing w:before="80" w:after="80" w:line="276" w:lineRule="auto"/>
        <w:jc w:val="both"/>
      </w:pPr>
      <w:r>
        <w:t>Standardised residuals were examined against each numerical predictor and via a Normal Q-Q plot:</w:t>
      </w:r>
    </w:p>
    <w:p w14:paraId="1F690C35" w14:textId="35EE1B04" w:rsidR="00DC727C" w:rsidRDefault="00DC727C" w:rsidP="00DC727C">
      <w:pPr>
        <w:spacing w:before="80" w:after="80" w:line="276" w:lineRule="auto"/>
        <w:jc w:val="center"/>
      </w:pPr>
      <w:r>
        <w:rPr>
          <w:noProof/>
        </w:rPr>
        <w:drawing>
          <wp:inline distT="0" distB="0" distL="0" distR="0" wp14:anchorId="6F22B7C5" wp14:editId="34CFA9FE">
            <wp:extent cx="2487432" cy="1856936"/>
            <wp:effectExtent l="0" t="0" r="1905" b="0"/>
            <wp:docPr id="903329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29763" name=""/>
                    <pic:cNvPicPr/>
                  </pic:nvPicPr>
                  <pic:blipFill>
                    <a:blip r:embed="rId19"/>
                    <a:stretch>
                      <a:fillRect/>
                    </a:stretch>
                  </pic:blipFill>
                  <pic:spPr>
                    <a:xfrm>
                      <a:off x="0" y="0"/>
                      <a:ext cx="2578578" cy="1924979"/>
                    </a:xfrm>
                    <a:prstGeom prst="rect">
                      <a:avLst/>
                    </a:prstGeom>
                  </pic:spPr>
                </pic:pic>
              </a:graphicData>
            </a:graphic>
          </wp:inline>
        </w:drawing>
      </w:r>
      <w:r w:rsidR="00AA7541">
        <w:rPr>
          <w:noProof/>
        </w:rPr>
        <w:drawing>
          <wp:inline distT="0" distB="0" distL="0" distR="0" wp14:anchorId="0A8F2E37" wp14:editId="463FF949">
            <wp:extent cx="2451370" cy="1844364"/>
            <wp:effectExtent l="0" t="0" r="0" b="0"/>
            <wp:docPr id="2093469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69364" name="Picture 209346936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51370" cy="1844364"/>
                    </a:xfrm>
                    <a:prstGeom prst="rect">
                      <a:avLst/>
                    </a:prstGeom>
                  </pic:spPr>
                </pic:pic>
              </a:graphicData>
            </a:graphic>
          </wp:inline>
        </w:drawing>
      </w:r>
    </w:p>
    <w:p w14:paraId="46FF44B3" w14:textId="362837B2" w:rsidR="00DC727C" w:rsidRDefault="00DC727C">
      <w:pPr>
        <w:spacing w:before="80" w:after="80" w:line="276" w:lineRule="auto"/>
        <w:jc w:val="both"/>
      </w:pPr>
      <w:r>
        <w:rPr>
          <w:noProof/>
        </w:rPr>
        <w:lastRenderedPageBreak/>
        <w:drawing>
          <wp:inline distT="0" distB="0" distL="0" distR="0" wp14:anchorId="33C4E392" wp14:editId="150E8EA4">
            <wp:extent cx="6400800" cy="1769110"/>
            <wp:effectExtent l="0" t="0" r="0" b="0"/>
            <wp:docPr id="238922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22173" name=""/>
                    <pic:cNvPicPr/>
                  </pic:nvPicPr>
                  <pic:blipFill>
                    <a:blip r:embed="rId21"/>
                    <a:stretch>
                      <a:fillRect/>
                    </a:stretch>
                  </pic:blipFill>
                  <pic:spPr>
                    <a:xfrm>
                      <a:off x="0" y="0"/>
                      <a:ext cx="6400800" cy="1769110"/>
                    </a:xfrm>
                    <a:prstGeom prst="rect">
                      <a:avLst/>
                    </a:prstGeom>
                  </pic:spPr>
                </pic:pic>
              </a:graphicData>
            </a:graphic>
          </wp:inline>
        </w:drawing>
      </w:r>
    </w:p>
    <w:p w14:paraId="7757BEF4" w14:textId="31643410" w:rsidR="006371FD" w:rsidRPr="006371FD" w:rsidRDefault="006371FD" w:rsidP="006371FD">
      <w:pPr>
        <w:spacing w:before="80" w:after="80" w:line="276" w:lineRule="auto"/>
        <w:jc w:val="center"/>
      </w:pPr>
      <w:r>
        <w:rPr>
          <w:i/>
          <w:iCs/>
          <w:sz w:val="22"/>
          <w:szCs w:val="22"/>
        </w:rPr>
        <w:t xml:space="preserve">Figure 3: </w:t>
      </w:r>
      <w:proofErr w:type="spellStart"/>
      <w:r>
        <w:rPr>
          <w:i/>
          <w:iCs/>
          <w:sz w:val="22"/>
          <w:szCs w:val="22"/>
        </w:rPr>
        <w:t>QQPlot</w:t>
      </w:r>
      <w:proofErr w:type="spellEnd"/>
      <w:r>
        <w:rPr>
          <w:i/>
          <w:iCs/>
          <w:sz w:val="22"/>
          <w:szCs w:val="22"/>
        </w:rPr>
        <w:t xml:space="preserve"> and Residual Plots</w:t>
      </w:r>
    </w:p>
    <w:p w14:paraId="66AA3258" w14:textId="5F3B0C67" w:rsidR="00DC727C" w:rsidRPr="00DC727C" w:rsidRDefault="00DC727C" w:rsidP="00DC727C">
      <w:pPr>
        <w:pStyle w:val="ListParagraph"/>
        <w:numPr>
          <w:ilvl w:val="0"/>
          <w:numId w:val="2"/>
        </w:numPr>
        <w:spacing w:before="40" w:after="40"/>
      </w:pPr>
      <w:r>
        <w:rPr>
          <w:b/>
          <w:bCs/>
        </w:rPr>
        <w:t xml:space="preserve">Normality: </w:t>
      </w:r>
      <w:r>
        <w:t xml:space="preserve">The Q-Q plot shows a slightly light-tailed distribution with a few outliers. </w:t>
      </w:r>
    </w:p>
    <w:p w14:paraId="61F824A6" w14:textId="15548620" w:rsidR="00E22255" w:rsidRDefault="00000000">
      <w:pPr>
        <w:pStyle w:val="ListParagraph"/>
        <w:numPr>
          <w:ilvl w:val="0"/>
          <w:numId w:val="2"/>
        </w:numPr>
        <w:spacing w:before="60" w:after="40"/>
      </w:pPr>
      <w:r>
        <w:rPr>
          <w:b/>
          <w:bCs/>
        </w:rPr>
        <w:t xml:space="preserve">Linearity: </w:t>
      </w:r>
      <w:r>
        <w:t>Residual-vs-predictor plots show no systematic curvature, supporting the linearity assumption.</w:t>
      </w:r>
    </w:p>
    <w:p w14:paraId="07A2D4E4" w14:textId="77777777" w:rsidR="00E22255" w:rsidRDefault="00000000">
      <w:pPr>
        <w:pStyle w:val="ListParagraph"/>
        <w:numPr>
          <w:ilvl w:val="0"/>
          <w:numId w:val="2"/>
        </w:numPr>
        <w:spacing w:before="40" w:after="40"/>
      </w:pPr>
      <w:r>
        <w:rPr>
          <w:b/>
          <w:bCs/>
        </w:rPr>
        <w:t xml:space="preserve">Homoscedasticity: </w:t>
      </w:r>
      <w:r>
        <w:t xml:space="preserve">A slight funnel pattern is visible in the residuals vs. </w:t>
      </w:r>
      <w:proofErr w:type="spellStart"/>
      <w:r>
        <w:rPr>
          <w:i/>
          <w:iCs/>
        </w:rPr>
        <w:t>floor_area_sqm</w:t>
      </w:r>
      <w:proofErr w:type="spellEnd"/>
      <w:r>
        <w:t xml:space="preserve"> plot, indicating mild heteroscedasticity for larger flats.</w:t>
      </w:r>
    </w:p>
    <w:p w14:paraId="5C7EAB39" w14:textId="114F65A4" w:rsidR="00664EDE" w:rsidRDefault="007A7DD6" w:rsidP="00664EDE">
      <w:pPr>
        <w:spacing w:before="40" w:after="40"/>
      </w:pPr>
      <w:r>
        <w:t>Several observations</w:t>
      </w:r>
      <w:r w:rsidR="00DC727C">
        <w:t xml:space="preserve"> had a standardised residual exceeding </w:t>
      </w:r>
      <w:r>
        <w:t xml:space="preserve">3, but were still kept as they </w:t>
      </w:r>
      <w:r w:rsidR="00AA7541">
        <w:t>might be useful</w:t>
      </w:r>
      <w:r w:rsidR="00DC727C">
        <w:t>. Cook's Distance was computed for all observations: no point exceeded the threshold of 1, so no influential observations were removed.</w:t>
      </w:r>
    </w:p>
    <w:p w14:paraId="7ABB5C92" w14:textId="77777777" w:rsidR="00E22255" w:rsidRDefault="00000000">
      <w:pPr>
        <w:spacing w:before="80" w:after="80" w:line="276" w:lineRule="auto"/>
        <w:jc w:val="both"/>
      </w:pPr>
      <w:r>
        <w:t xml:space="preserve">VIF values for M₀ revealed severe multicollinearity (Table 4). </w:t>
      </w:r>
      <w:proofErr w:type="spellStart"/>
      <w:r>
        <w:rPr>
          <w:i/>
          <w:iCs/>
        </w:rPr>
        <w:t>lease_commence_date</w:t>
      </w:r>
      <w:proofErr w:type="spellEnd"/>
      <w:r>
        <w:t xml:space="preserve"> had VIF = 2,841, and several </w:t>
      </w:r>
      <w:proofErr w:type="spellStart"/>
      <w:r>
        <w:rPr>
          <w:i/>
          <w:iCs/>
        </w:rPr>
        <w:t>flat_type</w:t>
      </w:r>
      <w:proofErr w:type="spellEnd"/>
      <w:r>
        <w:t xml:space="preserve"> and </w:t>
      </w:r>
      <w:proofErr w:type="spellStart"/>
      <w:r>
        <w:rPr>
          <w:i/>
          <w:iCs/>
        </w:rPr>
        <w:t>flat_model</w:t>
      </w:r>
      <w:proofErr w:type="spellEnd"/>
      <w:r>
        <w:t xml:space="preserve"> dummies had VIFs in the hundreds. This aligns with the EDA finding that </w:t>
      </w:r>
      <w:proofErr w:type="spellStart"/>
      <w:r>
        <w:rPr>
          <w:i/>
          <w:iCs/>
        </w:rPr>
        <w:t>lease_commence_date</w:t>
      </w:r>
      <w:proofErr w:type="spellEnd"/>
      <w:r>
        <w:t xml:space="preserve"> and </w:t>
      </w:r>
      <w:proofErr w:type="spellStart"/>
      <w:r>
        <w:rPr>
          <w:i/>
          <w:iCs/>
        </w:rPr>
        <w:t>remaining_lease_years</w:t>
      </w:r>
      <w:proofErr w:type="spellEnd"/>
      <w:r>
        <w:t xml:space="preserve"> are near-perfectly collinear (r ≈ 1), and that </w:t>
      </w:r>
      <w:proofErr w:type="spellStart"/>
      <w:r>
        <w:rPr>
          <w:i/>
          <w:iCs/>
        </w:rPr>
        <w:t>flat_type</w:t>
      </w:r>
      <w:proofErr w:type="spellEnd"/>
      <w:r>
        <w:t xml:space="preserve"> and </w:t>
      </w:r>
      <w:proofErr w:type="spellStart"/>
      <w:r>
        <w:rPr>
          <w:i/>
          <w:iCs/>
        </w:rPr>
        <w:t>flat_model</w:t>
      </w:r>
      <w:proofErr w:type="spellEnd"/>
      <w:r>
        <w:t xml:space="preserve"> are structurally associated.</w:t>
      </w:r>
    </w:p>
    <w:p w14:paraId="432E3F46" w14:textId="78B15CE5" w:rsidR="00C51612" w:rsidRDefault="00C51612" w:rsidP="00C51612">
      <w:pPr>
        <w:spacing w:before="80" w:after="80" w:line="276" w:lineRule="auto"/>
        <w:jc w:val="center"/>
      </w:pPr>
      <w:r>
        <w:rPr>
          <w:noProof/>
        </w:rPr>
        <w:drawing>
          <wp:inline distT="0" distB="0" distL="0" distR="0" wp14:anchorId="4745C749" wp14:editId="1CE7EAAB">
            <wp:extent cx="2281084" cy="1937305"/>
            <wp:effectExtent l="0" t="0" r="5080" b="6350"/>
            <wp:docPr id="21248345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34530" name="Picture 212483453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73988" cy="2440853"/>
                    </a:xfrm>
                    <a:prstGeom prst="rect">
                      <a:avLst/>
                    </a:prstGeom>
                  </pic:spPr>
                </pic:pic>
              </a:graphicData>
            </a:graphic>
          </wp:inline>
        </w:drawing>
      </w:r>
    </w:p>
    <w:p w14:paraId="00DB351E" w14:textId="77777777" w:rsidR="00E22255" w:rsidRDefault="00E22255">
      <w:pPr>
        <w:spacing w:line="120" w:lineRule="auto"/>
        <w:jc w:val="both"/>
      </w:pPr>
    </w:p>
    <w:p w14:paraId="3371F18E" w14:textId="77777777" w:rsidR="00E22255" w:rsidRDefault="00000000">
      <w:pPr>
        <w:spacing w:before="60" w:after="120"/>
        <w:jc w:val="center"/>
      </w:pPr>
      <w:r>
        <w:rPr>
          <w:i/>
          <w:iCs/>
          <w:sz w:val="22"/>
          <w:szCs w:val="22"/>
        </w:rPr>
        <w:t>Table 4: VIF comparison between M₀ and Mₙ (selected features).</w:t>
      </w:r>
    </w:p>
    <w:p w14:paraId="0FD1A33B" w14:textId="57440E4D" w:rsidR="00F74ECC" w:rsidRDefault="00000000">
      <w:pPr>
        <w:pStyle w:val="Heading2"/>
      </w:pPr>
      <w:r>
        <w:t>2.2 Model M</w:t>
      </w:r>
      <w:r>
        <w:rPr>
          <w:vertAlign w:val="subscript"/>
        </w:rPr>
        <w:t>2</w:t>
      </w:r>
      <w:r>
        <w:t xml:space="preserve">: Ridge Regression </w:t>
      </w:r>
    </w:p>
    <w:p w14:paraId="5820108A" w14:textId="639FA062" w:rsidR="00E22255" w:rsidRDefault="00000000">
      <w:pPr>
        <w:spacing w:before="80" w:after="80" w:line="276" w:lineRule="auto"/>
        <w:jc w:val="both"/>
      </w:pPr>
      <w:r>
        <w:t>To address the multicollinearity in M₀, Ridge Regression was explored as an intermediate step. Using leave-one-out cross-validation (</w:t>
      </w:r>
      <w:proofErr w:type="spellStart"/>
      <w:r>
        <w:t>RidgeCV</w:t>
      </w:r>
      <w:proofErr w:type="spellEnd"/>
      <w:r>
        <w:t xml:space="preserve">) across α ∈ [0.1, 100], the optimal regularisation parameter was found to be </w:t>
      </w:r>
      <w:r>
        <w:rPr>
          <w:b/>
          <w:bCs/>
        </w:rPr>
        <w:t>α = 0.4</w:t>
      </w:r>
      <w:r>
        <w:t>. A Ridge trace plot confirmed that coefficient shrinkage was stable and monotone. However, the Ridge test R² (0.8573) and RMSE (0.1252) were virtually identical to M₀</w:t>
      </w:r>
      <w:r>
        <w:rPr>
          <w:b/>
          <w:bCs/>
          <w:sz w:val="28"/>
          <w:szCs w:val="28"/>
        </w:rPr>
        <w:t xml:space="preserve"> </w:t>
      </w:r>
      <w:r>
        <w:t>test R² (0.8572) and RMSE (0.1253). This indicated that regularisation alone, without removing collinear variables, offered negligible practical improvement.</w:t>
      </w:r>
    </w:p>
    <w:p w14:paraId="3B656CAF" w14:textId="5D36562A" w:rsidR="00F74ECC" w:rsidRDefault="00F74ECC" w:rsidP="00C51612">
      <w:pPr>
        <w:spacing w:before="80" w:after="80" w:line="276" w:lineRule="auto"/>
        <w:jc w:val="center"/>
      </w:pPr>
      <w:r>
        <w:rPr>
          <w:noProof/>
        </w:rPr>
        <w:lastRenderedPageBreak/>
        <w:drawing>
          <wp:inline distT="0" distB="0" distL="0" distR="0" wp14:anchorId="2914046C" wp14:editId="503A0A8C">
            <wp:extent cx="1421366" cy="1420238"/>
            <wp:effectExtent l="0" t="0" r="1270" b="2540"/>
            <wp:docPr id="101531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11348" name=""/>
                    <pic:cNvPicPr/>
                  </pic:nvPicPr>
                  <pic:blipFill>
                    <a:blip r:embed="rId23"/>
                    <a:stretch>
                      <a:fillRect/>
                    </a:stretch>
                  </pic:blipFill>
                  <pic:spPr>
                    <a:xfrm>
                      <a:off x="0" y="0"/>
                      <a:ext cx="1444257" cy="1443111"/>
                    </a:xfrm>
                    <a:prstGeom prst="rect">
                      <a:avLst/>
                    </a:prstGeom>
                  </pic:spPr>
                </pic:pic>
              </a:graphicData>
            </a:graphic>
          </wp:inline>
        </w:drawing>
      </w:r>
      <w:r>
        <w:rPr>
          <w:noProof/>
        </w:rPr>
        <w:drawing>
          <wp:inline distT="0" distB="0" distL="0" distR="0" wp14:anchorId="15CF1B85" wp14:editId="2C23B086">
            <wp:extent cx="2390722" cy="1426132"/>
            <wp:effectExtent l="0" t="0" r="0" b="0"/>
            <wp:docPr id="56222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27039" name=""/>
                    <pic:cNvPicPr/>
                  </pic:nvPicPr>
                  <pic:blipFill>
                    <a:blip r:embed="rId24"/>
                    <a:stretch>
                      <a:fillRect/>
                    </a:stretch>
                  </pic:blipFill>
                  <pic:spPr>
                    <a:xfrm>
                      <a:off x="0" y="0"/>
                      <a:ext cx="2481511" cy="1480290"/>
                    </a:xfrm>
                    <a:prstGeom prst="rect">
                      <a:avLst/>
                    </a:prstGeom>
                  </pic:spPr>
                </pic:pic>
              </a:graphicData>
            </a:graphic>
          </wp:inline>
        </w:drawing>
      </w:r>
    </w:p>
    <w:p w14:paraId="6879007D" w14:textId="6EA54979" w:rsidR="00F74ECC" w:rsidRPr="006371FD" w:rsidRDefault="006371FD" w:rsidP="006371FD">
      <w:pPr>
        <w:spacing w:before="80" w:after="80" w:line="276" w:lineRule="auto"/>
        <w:jc w:val="center"/>
        <w:rPr>
          <w:i/>
          <w:iCs/>
          <w:sz w:val="22"/>
          <w:szCs w:val="22"/>
        </w:rPr>
      </w:pPr>
      <w:r>
        <w:rPr>
          <w:i/>
          <w:iCs/>
          <w:sz w:val="22"/>
          <w:szCs w:val="22"/>
        </w:rPr>
        <w:t xml:space="preserve">Figure 4: Ridge Trace and </w:t>
      </w:r>
      <w:proofErr w:type="spellStart"/>
      <w:r>
        <w:rPr>
          <w:i/>
          <w:iCs/>
          <w:sz w:val="22"/>
          <w:szCs w:val="22"/>
        </w:rPr>
        <w:t>RidgeCV</w:t>
      </w:r>
      <w:proofErr w:type="spellEnd"/>
      <w:r>
        <w:rPr>
          <w:i/>
          <w:iCs/>
          <w:sz w:val="22"/>
          <w:szCs w:val="22"/>
        </w:rPr>
        <w:t xml:space="preserve"> Plot </w:t>
      </w:r>
    </w:p>
    <w:p w14:paraId="612757BF" w14:textId="06B2F411" w:rsidR="00E22255" w:rsidRDefault="00000000">
      <w:pPr>
        <w:pStyle w:val="Heading2"/>
      </w:pPr>
      <w:r>
        <w:t>2.3 Model M</w:t>
      </w:r>
      <w:r>
        <w:rPr>
          <w:vertAlign w:val="subscript"/>
        </w:rPr>
        <w:t>3</w:t>
      </w:r>
      <w:r>
        <w:t>: Forward-Selected OLS on Reduced Predictors</w:t>
      </w:r>
    </w:p>
    <w:p w14:paraId="3D5E1D84" w14:textId="77777777" w:rsidR="00E22255" w:rsidRDefault="00000000">
      <w:pPr>
        <w:spacing w:before="80" w:after="80" w:line="276" w:lineRule="auto"/>
        <w:jc w:val="both"/>
      </w:pPr>
      <w:r>
        <w:t>Given the multicollinearity findings, the following variable removal strategy was adopted: (</w:t>
      </w:r>
      <w:proofErr w:type="spellStart"/>
      <w:r>
        <w:t>i</w:t>
      </w:r>
      <w:proofErr w:type="spellEnd"/>
      <w:r>
        <w:t xml:space="preserve">) </w:t>
      </w:r>
      <w:proofErr w:type="spellStart"/>
      <w:r>
        <w:rPr>
          <w:i/>
          <w:iCs/>
        </w:rPr>
        <w:t>lease_commence_date</w:t>
      </w:r>
      <w:proofErr w:type="spellEnd"/>
      <w:r>
        <w:t xml:space="preserve"> was dropped in favour of </w:t>
      </w:r>
      <w:proofErr w:type="spellStart"/>
      <w:r>
        <w:rPr>
          <w:i/>
          <w:iCs/>
        </w:rPr>
        <w:t>remaining_lease_years</w:t>
      </w:r>
      <w:proofErr w:type="spellEnd"/>
      <w:r>
        <w:t xml:space="preserve">, as the two are near-perfectly collinear and </w:t>
      </w:r>
      <w:proofErr w:type="spellStart"/>
      <w:r>
        <w:rPr>
          <w:i/>
          <w:iCs/>
        </w:rPr>
        <w:t>remaining_lease_years</w:t>
      </w:r>
      <w:proofErr w:type="spellEnd"/>
      <w:r>
        <w:t xml:space="preserve"> is the more directly interpretable lease metric; (ii) </w:t>
      </w:r>
      <w:proofErr w:type="spellStart"/>
      <w:r>
        <w:rPr>
          <w:i/>
          <w:iCs/>
        </w:rPr>
        <w:t>flat_type</w:t>
      </w:r>
      <w:proofErr w:type="spellEnd"/>
      <w:r>
        <w:t xml:space="preserve"> was dropped because it is structurally associated with </w:t>
      </w:r>
      <w:proofErr w:type="spellStart"/>
      <w:r>
        <w:rPr>
          <w:i/>
          <w:iCs/>
        </w:rPr>
        <w:t>flat_model</w:t>
      </w:r>
      <w:proofErr w:type="spellEnd"/>
      <w:r>
        <w:t xml:space="preserve"> (chi-squared p &lt; 0.05), and </w:t>
      </w:r>
      <w:proofErr w:type="spellStart"/>
      <w:r>
        <w:rPr>
          <w:i/>
          <w:iCs/>
        </w:rPr>
        <w:t>flat_model</w:t>
      </w:r>
      <w:proofErr w:type="spellEnd"/>
      <w:r>
        <w:t xml:space="preserve"> carries richer model-specific information.</w:t>
      </w:r>
    </w:p>
    <w:p w14:paraId="5E9F36B4" w14:textId="77777777" w:rsidR="00E22255" w:rsidRDefault="00000000">
      <w:pPr>
        <w:spacing w:before="80" w:after="80" w:line="276" w:lineRule="auto"/>
        <w:jc w:val="both"/>
      </w:pPr>
      <w:r>
        <w:t xml:space="preserve">Forward stepwise selection (minimising AIC at each step) was then run over the remaining candidate predictors: </w:t>
      </w:r>
      <w:proofErr w:type="spellStart"/>
      <w:r>
        <w:rPr>
          <w:i/>
          <w:iCs/>
        </w:rPr>
        <w:t>floor_area_sqm</w:t>
      </w:r>
      <w:proofErr w:type="spellEnd"/>
      <w:r>
        <w:t xml:space="preserve">, </w:t>
      </w:r>
      <w:proofErr w:type="spellStart"/>
      <w:r>
        <w:rPr>
          <w:i/>
          <w:iCs/>
        </w:rPr>
        <w:t>flat_model</w:t>
      </w:r>
      <w:proofErr w:type="spellEnd"/>
      <w:r>
        <w:t xml:space="preserve">, </w:t>
      </w:r>
      <w:r>
        <w:rPr>
          <w:i/>
          <w:iCs/>
        </w:rPr>
        <w:t>region</w:t>
      </w:r>
      <w:r>
        <w:t xml:space="preserve">, </w:t>
      </w:r>
      <w:proofErr w:type="spellStart"/>
      <w:r>
        <w:rPr>
          <w:i/>
          <w:iCs/>
        </w:rPr>
        <w:t>remaining_lease_years</w:t>
      </w:r>
      <w:proofErr w:type="spellEnd"/>
      <w:r>
        <w:t xml:space="preserve">, and </w:t>
      </w:r>
      <w:proofErr w:type="spellStart"/>
      <w:r>
        <w:rPr>
          <w:i/>
          <w:iCs/>
        </w:rPr>
        <w:t>average_storey</w:t>
      </w:r>
      <w:proofErr w:type="spellEnd"/>
      <w:r>
        <w:t>. The selection procedure added features in the following order (Table 5):</w:t>
      </w:r>
    </w:p>
    <w:p w14:paraId="1D028ADC" w14:textId="65EDC4B6" w:rsidR="00E22255" w:rsidRDefault="005327E9" w:rsidP="005327E9">
      <w:pPr>
        <w:spacing w:before="80" w:after="80" w:line="276" w:lineRule="auto"/>
        <w:jc w:val="center"/>
      </w:pPr>
      <w:r>
        <w:rPr>
          <w:noProof/>
        </w:rPr>
        <w:drawing>
          <wp:inline distT="0" distB="0" distL="0" distR="0" wp14:anchorId="1102B339" wp14:editId="7D395E69">
            <wp:extent cx="3508587" cy="794305"/>
            <wp:effectExtent l="0" t="0" r="0" b="6350"/>
            <wp:docPr id="691339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339910" name="Picture 6913399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27850" cy="821305"/>
                    </a:xfrm>
                    <a:prstGeom prst="rect">
                      <a:avLst/>
                    </a:prstGeom>
                  </pic:spPr>
                </pic:pic>
              </a:graphicData>
            </a:graphic>
          </wp:inline>
        </w:drawing>
      </w:r>
    </w:p>
    <w:p w14:paraId="047387CC" w14:textId="77777777" w:rsidR="00E22255" w:rsidRDefault="00000000">
      <w:pPr>
        <w:spacing w:before="60" w:after="120"/>
        <w:jc w:val="center"/>
        <w:rPr>
          <w:i/>
          <w:iCs/>
          <w:sz w:val="22"/>
          <w:szCs w:val="22"/>
        </w:rPr>
      </w:pPr>
      <w:r>
        <w:rPr>
          <w:i/>
          <w:iCs/>
          <w:sz w:val="22"/>
          <w:szCs w:val="22"/>
        </w:rPr>
        <w:t>Table 5: Forward selection steps with AIC and adjusted R².</w:t>
      </w:r>
    </w:p>
    <w:p w14:paraId="32DC7942" w14:textId="7D50206F" w:rsidR="00160BD0" w:rsidRDefault="00160BD0">
      <w:pPr>
        <w:spacing w:before="60" w:after="120"/>
        <w:jc w:val="center"/>
        <w:rPr>
          <w:i/>
          <w:iCs/>
          <w:sz w:val="22"/>
          <w:szCs w:val="22"/>
        </w:rPr>
      </w:pPr>
      <w:r w:rsidRPr="00160BD0">
        <w:rPr>
          <w:i/>
          <w:iCs/>
          <w:sz w:val="22"/>
          <w:szCs w:val="22"/>
        </w:rPr>
        <w:drawing>
          <wp:inline distT="0" distB="0" distL="0" distR="0" wp14:anchorId="05F9333F" wp14:editId="55AB5D36">
            <wp:extent cx="4861573" cy="1238516"/>
            <wp:effectExtent l="0" t="0" r="2540" b="6350"/>
            <wp:docPr id="116008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83535" name=""/>
                    <pic:cNvPicPr/>
                  </pic:nvPicPr>
                  <pic:blipFill rotWithShape="1">
                    <a:blip r:embed="rId26"/>
                    <a:srcRect t="7695"/>
                    <a:stretch>
                      <a:fillRect/>
                    </a:stretch>
                  </pic:blipFill>
                  <pic:spPr bwMode="auto">
                    <a:xfrm>
                      <a:off x="0" y="0"/>
                      <a:ext cx="4909719" cy="1250782"/>
                    </a:xfrm>
                    <a:prstGeom prst="rect">
                      <a:avLst/>
                    </a:prstGeom>
                    <a:ln>
                      <a:noFill/>
                    </a:ln>
                    <a:extLst>
                      <a:ext uri="{53640926-AAD7-44D8-BBD7-CCE9431645EC}">
                        <a14:shadowObscured xmlns:a14="http://schemas.microsoft.com/office/drawing/2010/main"/>
                      </a:ext>
                    </a:extLst>
                  </pic:spPr>
                </pic:pic>
              </a:graphicData>
            </a:graphic>
          </wp:inline>
        </w:drawing>
      </w:r>
    </w:p>
    <w:p w14:paraId="5189CCA4" w14:textId="213747F1" w:rsidR="00160BD0" w:rsidRDefault="00160BD0" w:rsidP="00160BD0">
      <w:pPr>
        <w:spacing w:before="80" w:after="80" w:line="276" w:lineRule="auto"/>
        <w:jc w:val="center"/>
        <w:rPr>
          <w:i/>
          <w:iCs/>
          <w:sz w:val="22"/>
          <w:szCs w:val="22"/>
        </w:rPr>
      </w:pPr>
      <w:r>
        <w:rPr>
          <w:i/>
          <w:iCs/>
          <w:sz w:val="22"/>
          <w:szCs w:val="22"/>
        </w:rPr>
        <w:t xml:space="preserve">Figure </w:t>
      </w:r>
      <w:r>
        <w:rPr>
          <w:i/>
          <w:iCs/>
          <w:sz w:val="22"/>
          <w:szCs w:val="22"/>
        </w:rPr>
        <w:t>5</w:t>
      </w:r>
      <w:r>
        <w:rPr>
          <w:i/>
          <w:iCs/>
          <w:sz w:val="22"/>
          <w:szCs w:val="22"/>
        </w:rPr>
        <w:t xml:space="preserve">: </w:t>
      </w:r>
      <w:r>
        <w:rPr>
          <w:i/>
          <w:iCs/>
          <w:sz w:val="22"/>
          <w:szCs w:val="22"/>
        </w:rPr>
        <w:t>Residual plots for model 3</w:t>
      </w:r>
    </w:p>
    <w:p w14:paraId="17BB2001" w14:textId="5D7FBB84" w:rsidR="00160BD0" w:rsidRDefault="00160BD0" w:rsidP="00160BD0">
      <w:pPr>
        <w:spacing w:before="80" w:after="80" w:line="276" w:lineRule="auto"/>
        <w:jc w:val="both"/>
      </w:pPr>
      <w:r>
        <w:t>Residual diagnostics for M</w:t>
      </w:r>
      <w:r>
        <w:rPr>
          <w:vertAlign w:val="subscript"/>
        </w:rPr>
        <w:t>3</w:t>
      </w:r>
      <w:r>
        <w:t xml:space="preserve"> confirm that the model assumptions are reasonably satisfied. The residual-vs-predictor plots for the three numerical features (</w:t>
      </w:r>
      <w:proofErr w:type="spellStart"/>
      <w:r>
        <w:rPr>
          <w:i/>
          <w:iCs/>
        </w:rPr>
        <w:t>floor_area_sqm</w:t>
      </w:r>
      <w:proofErr w:type="spellEnd"/>
      <w:r>
        <w:t xml:space="preserve">, </w:t>
      </w:r>
      <w:proofErr w:type="spellStart"/>
      <w:r>
        <w:rPr>
          <w:i/>
          <w:iCs/>
        </w:rPr>
        <w:t>remaining_lease_years</w:t>
      </w:r>
      <w:proofErr w:type="spellEnd"/>
      <w:r>
        <w:t xml:space="preserve">, </w:t>
      </w:r>
      <w:proofErr w:type="spellStart"/>
      <w:r>
        <w:rPr>
          <w:i/>
          <w:iCs/>
        </w:rPr>
        <w:t>average_storey</w:t>
      </w:r>
      <w:proofErr w:type="spellEnd"/>
      <w:r>
        <w:t>) show no systematic pattern, supporting linearity. The mild heteroscedasticity pattern observed in M₀ persists but is slightly attenuated. No Cook's Distance exceeded 1, confirming the absence of unduly influential observations. VIF values are substantially reduced in M</w:t>
      </w:r>
      <w:r w:rsidR="006F5B02">
        <w:rPr>
          <w:vertAlign w:val="subscript"/>
        </w:rPr>
        <w:t>3</w:t>
      </w:r>
      <w:r>
        <w:t xml:space="preserve"> (Table 4), with the highest being 65.3 for </w:t>
      </w:r>
      <w:proofErr w:type="spellStart"/>
      <w:r>
        <w:rPr>
          <w:i/>
          <w:iCs/>
        </w:rPr>
        <w:t>remaining_lease_years</w:t>
      </w:r>
      <w:proofErr w:type="spellEnd"/>
      <w:r>
        <w:t>, a meaningful improvement over M₀, though moderate collinearity remains an acknowledged limitation.</w:t>
      </w:r>
    </w:p>
    <w:p w14:paraId="3CC112A1" w14:textId="3CC112A1" w:rsidR="00E22255" w:rsidRDefault="00000000">
      <w:pPr>
        <w:pStyle w:val="Heading2"/>
      </w:pPr>
      <w:r>
        <w:t>2.4 Model M₄: Weighted Least Squares (IRLS)</w:t>
      </w:r>
    </w:p>
    <w:p w14:paraId="3CC112A2" w14:textId="3CC112A2" w:rsidR="00E22255" w:rsidRDefault="00000000">
      <w:pPr>
        <w:spacing w:before="80" w:after="80" w:line="276" w:lineRule="auto"/>
        <w:jc w:val="both"/>
      </w:pPr>
      <w:r>
        <w:t xml:space="preserve">The mild heteroscedasticity identified in M₀ and persisting in M₃ motivated the exploration of Weighted Least Squares (WLS) as a remediation strategy. WLS was applied to the same predictor set as M₃ </w:t>
      </w:r>
      <w:r>
        <w:lastRenderedPageBreak/>
        <w:t>(</w:t>
      </w:r>
      <w:proofErr w:type="spellStart"/>
      <w:r>
        <w:rPr>
          <w:i/>
          <w:iCs/>
        </w:rPr>
        <w:t>flat_model</w:t>
      </w:r>
      <w:proofErr w:type="spellEnd"/>
      <w:r>
        <w:t xml:space="preserve">, </w:t>
      </w:r>
      <w:r>
        <w:rPr>
          <w:i/>
          <w:iCs/>
        </w:rPr>
        <w:t>region</w:t>
      </w:r>
      <w:r>
        <w:t xml:space="preserve">, </w:t>
      </w:r>
      <w:proofErr w:type="spellStart"/>
      <w:r>
        <w:rPr>
          <w:i/>
          <w:iCs/>
        </w:rPr>
        <w:t>floor_area_sqm</w:t>
      </w:r>
      <w:proofErr w:type="spellEnd"/>
      <w:r>
        <w:t xml:space="preserve">, </w:t>
      </w:r>
      <w:proofErr w:type="spellStart"/>
      <w:r>
        <w:rPr>
          <w:i/>
          <w:iCs/>
        </w:rPr>
        <w:t>remaining_lease_years</w:t>
      </w:r>
      <w:proofErr w:type="spellEnd"/>
      <w:r>
        <w:t xml:space="preserve">, </w:t>
      </w:r>
      <w:proofErr w:type="spellStart"/>
      <w:r>
        <w:rPr>
          <w:i/>
          <w:iCs/>
        </w:rPr>
        <w:t>average_storey</w:t>
      </w:r>
      <w:proofErr w:type="spellEnd"/>
      <w:r>
        <w:t>). Weights were estimated via Iteratively Reweighted Least Squares (IRLS): at each iteration, the squared OLS residuals were regressed on the predictors to model the variance function, and observation weights were set to the reciprocal of the fitted variance. Weights were capped at the 99th percentile to prevent explosive upweighting of near-zero variance observations.</w:t>
      </w:r>
    </w:p>
    <w:p w14:paraId="3CC112A3" w14:textId="7E1B76DE" w:rsidR="00E22255" w:rsidRDefault="00000000">
      <w:pPr>
        <w:spacing w:before="80" w:after="80" w:line="276" w:lineRule="auto"/>
        <w:jc w:val="both"/>
      </w:pPr>
      <w:r>
        <w:t>The IRLS procedure did not converge within 100 iterations, as evidenced by the persistently large maximum weight changes (approaching 10⁶) across all iterations. This indicates that the variance function could not be stably estimated from the data, likely because the heteroscedasticity in the log-transformed response is too mild and irregular to support a reliable parametric variance model via OLS on squared residuals. Consequently, M₄ did not yield a stable or meaningfully improved fit over M₃, and the WLS approach was not pursued further. The final selected model remains M₃, which balances goodness-of-fit, parsimony, and interpretability without requiring non-convergent iterative weighting.</w:t>
      </w:r>
    </w:p>
    <w:p w14:paraId="4AB373E4" w14:textId="494BD50E" w:rsidR="00E22255" w:rsidRDefault="00000000">
      <w:pPr>
        <w:pStyle w:val="Heading2"/>
      </w:pPr>
      <w:r>
        <w:t>2.5 Final Model Interpretation</w:t>
      </w:r>
    </w:p>
    <w:p w14:paraId="6171CDEA" w14:textId="31F28AB9" w:rsidR="00E22255" w:rsidRDefault="00000000">
      <w:pPr>
        <w:spacing w:before="80" w:after="80" w:line="276" w:lineRule="auto"/>
        <w:jc w:val="both"/>
      </w:pPr>
      <w:r>
        <w:rPr>
          <w:b/>
          <w:bCs/>
        </w:rPr>
        <w:t xml:space="preserve">Quantitative predictor: </w:t>
      </w:r>
      <w:proofErr w:type="spellStart"/>
      <w:r>
        <w:rPr>
          <w:b/>
          <w:bCs/>
        </w:rPr>
        <w:t>floor_area_sqm</w:t>
      </w:r>
      <w:proofErr w:type="spellEnd"/>
      <w:r>
        <w:rPr>
          <w:b/>
          <w:bCs/>
        </w:rPr>
        <w:t xml:space="preserve">: </w:t>
      </w:r>
      <w:r w:rsidR="007259B5">
        <w:t xml:space="preserve">Holding all other variables constant, each additional square metre of floor area is associated with an increase of approximately </w:t>
      </w:r>
      <w:r w:rsidR="007259B5">
        <w:rPr>
          <w:rStyle w:val="Strong"/>
        </w:rPr>
        <w:t>0.0105</w:t>
      </w:r>
      <w:r w:rsidR="007259B5">
        <w:t xml:space="preserve"> in log resale </w:t>
      </w:r>
      <w:proofErr w:type="spellStart"/>
      <w:r w:rsidR="007259B5">
        <w:t>price.</w:t>
      </w:r>
      <w:r>
        <w:t>This</w:t>
      </w:r>
      <w:proofErr w:type="spellEnd"/>
      <w:r>
        <w:t xml:space="preserve"> aligns with the intuitive expectation that larger flats command higher prices, independent of flat type or model.</w:t>
      </w:r>
    </w:p>
    <w:p w14:paraId="68C6666E" w14:textId="4939257A" w:rsidR="005E343B" w:rsidRDefault="00000000" w:rsidP="00664EDE">
      <w:pPr>
        <w:spacing w:before="80" w:after="80" w:line="276" w:lineRule="auto"/>
        <w:jc w:val="both"/>
      </w:pPr>
      <w:r>
        <w:rPr>
          <w:b/>
          <w:bCs/>
        </w:rPr>
        <w:t xml:space="preserve">Categorical predictor: region: </w:t>
      </w:r>
      <w:r w:rsidR="007259B5">
        <w:t xml:space="preserve">Relative to the Central region, flats in the North-East and East regions are associated with approximately </w:t>
      </w:r>
      <w:r w:rsidR="007259B5">
        <w:rPr>
          <w:rStyle w:val="Strong"/>
        </w:rPr>
        <w:t>0.296</w:t>
      </w:r>
      <w:r w:rsidR="007259B5">
        <w:t xml:space="preserve"> and </w:t>
      </w:r>
      <w:r w:rsidR="007259B5">
        <w:rPr>
          <w:rStyle w:val="Strong"/>
        </w:rPr>
        <w:t>0.224</w:t>
      </w:r>
      <w:r w:rsidR="007259B5">
        <w:t xml:space="preserve"> lower log resale prices respectively.</w:t>
      </w:r>
      <w:r w:rsidR="007259B5">
        <w:t xml:space="preserve"> </w:t>
      </w:r>
      <w:r>
        <w:t>This reflects the well-documented price premium of centrally located HDB flats, driven by proximity to the CBD, amenities, and transport infrastructure.</w:t>
      </w:r>
    </w:p>
    <w:p w14:paraId="25B06095" w14:textId="77777777" w:rsidR="00E22255" w:rsidRDefault="00000000">
      <w:pPr>
        <w:pStyle w:val="Heading1"/>
        <w:spacing w:before="200" w:after="100"/>
      </w:pPr>
      <w:r>
        <w:t>Conclusion</w:t>
      </w:r>
    </w:p>
    <w:p w14:paraId="7A75EB33" w14:textId="6DAB87CA" w:rsidR="00E22255" w:rsidRDefault="00000000">
      <w:pPr>
        <w:spacing w:before="80" w:after="80" w:line="276" w:lineRule="auto"/>
        <w:jc w:val="both"/>
      </w:pPr>
      <w:r>
        <w:t xml:space="preserve">This report proposed and evaluated several linear models for predicting HDB resale prices in Singapore using July 2020 transaction data. Beginning with a full OLS model M₀ (adjusted R² = 0.859), we identified severe multicollinearity, particularly between </w:t>
      </w:r>
      <w:proofErr w:type="spellStart"/>
      <w:r>
        <w:rPr>
          <w:i/>
          <w:iCs/>
        </w:rPr>
        <w:t>lease_commence_date</w:t>
      </w:r>
      <w:proofErr w:type="spellEnd"/>
      <w:r>
        <w:t xml:space="preserve"> and </w:t>
      </w:r>
      <w:proofErr w:type="spellStart"/>
      <w:r>
        <w:rPr>
          <w:i/>
          <w:iCs/>
        </w:rPr>
        <w:t>remaining_lease_years</w:t>
      </w:r>
      <w:proofErr w:type="spellEnd"/>
      <w:r>
        <w:t xml:space="preserve">, and between </w:t>
      </w:r>
      <w:proofErr w:type="spellStart"/>
      <w:r>
        <w:rPr>
          <w:i/>
          <w:iCs/>
        </w:rPr>
        <w:t>flat_type</w:t>
      </w:r>
      <w:proofErr w:type="spellEnd"/>
      <w:r>
        <w:t xml:space="preserve"> and </w:t>
      </w:r>
      <w:proofErr w:type="spellStart"/>
      <w:r>
        <w:rPr>
          <w:i/>
          <w:iCs/>
        </w:rPr>
        <w:t>flat_model</w:t>
      </w:r>
      <w:proofErr w:type="spellEnd"/>
      <w:r>
        <w:t>. Ridge regression provided negligible improvement. The final model M</w:t>
      </w:r>
      <w:r w:rsidR="00384E28">
        <w:rPr>
          <w:vertAlign w:val="subscript"/>
        </w:rPr>
        <w:t>3</w:t>
      </w:r>
      <w:r>
        <w:t>, selected via forward AIC minimisation on a reduced predictor set, regresses ln(</w:t>
      </w:r>
      <w:proofErr w:type="spellStart"/>
      <w:r>
        <w:rPr>
          <w:i/>
          <w:iCs/>
        </w:rPr>
        <w:t>resale_price</w:t>
      </w:r>
      <w:proofErr w:type="spellEnd"/>
      <w:r>
        <w:t xml:space="preserve">) on </w:t>
      </w:r>
      <w:proofErr w:type="spellStart"/>
      <w:r>
        <w:rPr>
          <w:i/>
          <w:iCs/>
        </w:rPr>
        <w:t>flat_model</w:t>
      </w:r>
      <w:proofErr w:type="spellEnd"/>
      <w:r>
        <w:t xml:space="preserve">, </w:t>
      </w:r>
      <w:r>
        <w:rPr>
          <w:i/>
          <w:iCs/>
        </w:rPr>
        <w:t>region</w:t>
      </w:r>
      <w:r>
        <w:t xml:space="preserve">, </w:t>
      </w:r>
      <w:proofErr w:type="spellStart"/>
      <w:r>
        <w:rPr>
          <w:i/>
          <w:iCs/>
        </w:rPr>
        <w:t>floor_area_sqm</w:t>
      </w:r>
      <w:proofErr w:type="spellEnd"/>
      <w:r>
        <w:t xml:space="preserve">, </w:t>
      </w:r>
      <w:proofErr w:type="spellStart"/>
      <w:r>
        <w:rPr>
          <w:i/>
          <w:iCs/>
        </w:rPr>
        <w:t>remaining_lease_years</w:t>
      </w:r>
      <w:proofErr w:type="spellEnd"/>
      <w:r>
        <w:t xml:space="preserve">, and </w:t>
      </w:r>
      <w:proofErr w:type="spellStart"/>
      <w:r>
        <w:rPr>
          <w:i/>
          <w:iCs/>
        </w:rPr>
        <w:t>average_storey</w:t>
      </w:r>
      <w:proofErr w:type="spellEnd"/>
      <w:r>
        <w:t>. M</w:t>
      </w:r>
      <w:r w:rsidR="006F5B02">
        <w:rPr>
          <w:vertAlign w:val="subscript"/>
        </w:rPr>
        <w:t>3</w:t>
      </w:r>
      <w:r>
        <w:t xml:space="preserve"> attains an adjusted R² of 0.854 with substantially reduced multicollinearity and superior parsimony, and is identified as the best linear model for this dataset.</w:t>
      </w:r>
    </w:p>
    <w:p w14:paraId="70E08C36" w14:textId="03A77582" w:rsidR="005327E9" w:rsidRDefault="005327E9" w:rsidP="005327E9">
      <w:pPr>
        <w:spacing w:before="80" w:after="80" w:line="276" w:lineRule="auto"/>
        <w:jc w:val="both"/>
      </w:pPr>
      <w:r>
        <w:t>M</w:t>
      </w:r>
      <w:r w:rsidR="00384E28">
        <w:rPr>
          <w:vertAlign w:val="subscript"/>
        </w:rPr>
        <w:t>3</w:t>
      </w:r>
      <w:r>
        <w:t xml:space="preserve"> achieves a comparable adjusted R² to M₀ (0.854 vs 0.859) with 7 fewer parameters, substantially reduced multicollinearity, and better parsimony. The slight AIC increase is an acceptable trade-off for a model with far less collinearity and superior interpretability.</w:t>
      </w:r>
    </w:p>
    <w:p w14:paraId="2812B618" w14:textId="3D96C07A" w:rsidR="005327E9" w:rsidRDefault="00384E28">
      <w:pPr>
        <w:spacing w:before="80" w:after="80" w:line="276" w:lineRule="auto"/>
        <w:jc w:val="both"/>
      </w:pPr>
      <w:r>
        <w:t>The f</w:t>
      </w:r>
      <w:r>
        <w:t>itted equation of the f</w:t>
      </w:r>
      <w:r>
        <w:t>inal model M</w:t>
      </w:r>
      <w:r>
        <w:rPr>
          <w:vertAlign w:val="subscript"/>
        </w:rPr>
        <w:t>3</w:t>
      </w:r>
      <w:r>
        <w:t xml:space="preserve"> is therefore:</w:t>
      </w:r>
    </w:p>
    <w:p w14:paraId="00226E22" w14:textId="33A7B15A" w:rsidR="005E343B" w:rsidRDefault="00160BD0">
      <w:pPr>
        <w:spacing w:before="80" w:after="80" w:line="276" w:lineRule="auto"/>
        <w:jc w:val="both"/>
      </w:pPr>
      <w:r>
        <w:rPr>
          <w:noProof/>
        </w:rPr>
        <w:drawing>
          <wp:inline distT="0" distB="0" distL="0" distR="0" wp14:anchorId="7A1207B3" wp14:editId="0B1E60DB">
            <wp:extent cx="6400800" cy="241300"/>
            <wp:effectExtent l="0" t="0" r="0" b="0"/>
            <wp:docPr id="15297708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70804" name="Picture 152977080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00800" cy="241300"/>
                    </a:xfrm>
                    <a:prstGeom prst="rect">
                      <a:avLst/>
                    </a:prstGeom>
                  </pic:spPr>
                </pic:pic>
              </a:graphicData>
            </a:graphic>
          </wp:inline>
        </w:drawing>
      </w:r>
    </w:p>
    <w:p w14:paraId="12FC279C" w14:textId="38990054" w:rsidR="00160BD0" w:rsidRDefault="00160BD0">
      <w:pPr>
        <w:spacing w:before="80" w:after="80" w:line="276" w:lineRule="auto"/>
        <w:jc w:val="both"/>
      </w:pPr>
      <w:r>
        <w:rPr>
          <w:noProof/>
        </w:rPr>
        <w:drawing>
          <wp:inline distT="0" distB="0" distL="0" distR="0" wp14:anchorId="475FAA6F" wp14:editId="1B619F06">
            <wp:extent cx="6400800" cy="219710"/>
            <wp:effectExtent l="0" t="0" r="0" b="0"/>
            <wp:docPr id="1334344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4452" name="Picture 13343445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00800" cy="219710"/>
                    </a:xfrm>
                    <a:prstGeom prst="rect">
                      <a:avLst/>
                    </a:prstGeom>
                  </pic:spPr>
                </pic:pic>
              </a:graphicData>
            </a:graphic>
          </wp:inline>
        </w:drawing>
      </w:r>
    </w:p>
    <w:p w14:paraId="30CCFB85" w14:textId="1CCFFCE2" w:rsidR="00160BD0" w:rsidRDefault="00160BD0">
      <w:pPr>
        <w:spacing w:before="80" w:after="80" w:line="276" w:lineRule="auto"/>
        <w:jc w:val="both"/>
      </w:pPr>
      <w:r>
        <w:rPr>
          <w:noProof/>
        </w:rPr>
        <w:drawing>
          <wp:inline distT="0" distB="0" distL="0" distR="0" wp14:anchorId="46262CEA" wp14:editId="60CFB50D">
            <wp:extent cx="4182893" cy="324506"/>
            <wp:effectExtent l="0" t="0" r="0" b="5715"/>
            <wp:docPr id="1745956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56166" name="Picture 174595616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42263" cy="391175"/>
                    </a:xfrm>
                    <a:prstGeom prst="rect">
                      <a:avLst/>
                    </a:prstGeom>
                  </pic:spPr>
                </pic:pic>
              </a:graphicData>
            </a:graphic>
          </wp:inline>
        </w:drawing>
      </w:r>
    </w:p>
    <w:sectPr w:rsidR="00160BD0">
      <w:footerReference w:type="default" r:id="rId3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212F6" w14:textId="77777777" w:rsidR="005119E6" w:rsidRDefault="005119E6">
      <w:r>
        <w:separator/>
      </w:r>
    </w:p>
  </w:endnote>
  <w:endnote w:type="continuationSeparator" w:id="0">
    <w:p w14:paraId="129C852D" w14:textId="77777777" w:rsidR="005119E6" w:rsidRDefault="005119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2FA94" w14:textId="77777777" w:rsidR="00E22255" w:rsidRDefault="00000000">
    <w:pPr>
      <w:jc w:val="center"/>
    </w:pPr>
    <w:r>
      <w:rPr>
        <w:sz w:val="22"/>
        <w:szCs w:val="22"/>
      </w:rPr>
      <w:t xml:space="preserve">Page </w:t>
    </w:r>
    <w:r>
      <w:rPr>
        <w:sz w:val="22"/>
        <w:szCs w:val="22"/>
      </w:rPr>
      <w:fldChar w:fldCharType="begin"/>
    </w:r>
    <w:r>
      <w:rPr>
        <w:sz w:val="22"/>
        <w:szCs w:val="22"/>
      </w:rPr>
      <w:instrText>PAGE</w:instrText>
    </w:r>
    <w:r>
      <w:rPr>
        <w:sz w:val="22"/>
        <w:szCs w:val="22"/>
      </w:rPr>
      <w:fldChar w:fldCharType="separate"/>
    </w:r>
    <w:r w:rsidR="00FF7767">
      <w:rPr>
        <w:noProof/>
        <w:sz w:val="22"/>
        <w:szCs w:val="22"/>
      </w:rPr>
      <w:t>1</w:t>
    </w:r>
    <w:r>
      <w:rPr>
        <w:sz w:val="22"/>
        <w:szCs w:val="22"/>
      </w:rPr>
      <w:fldChar w:fldCharType="end"/>
    </w:r>
    <w:r>
      <w:rPr>
        <w:sz w:val="22"/>
        <w:szCs w:val="22"/>
      </w:rPr>
      <w:t xml:space="preserve"> of </w:t>
    </w:r>
    <w:r>
      <w:rPr>
        <w:sz w:val="22"/>
        <w:szCs w:val="22"/>
      </w:rPr>
      <w:fldChar w:fldCharType="begin"/>
    </w:r>
    <w:r>
      <w:rPr>
        <w:sz w:val="22"/>
        <w:szCs w:val="22"/>
      </w:rPr>
      <w:instrText>NUMPAGES</w:instrText>
    </w:r>
    <w:r>
      <w:rPr>
        <w:sz w:val="22"/>
        <w:szCs w:val="22"/>
      </w:rPr>
      <w:fldChar w:fldCharType="separate"/>
    </w:r>
    <w:r w:rsidR="00FF7767">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098FE" w14:textId="77777777" w:rsidR="005119E6" w:rsidRDefault="005119E6">
      <w:r>
        <w:separator/>
      </w:r>
    </w:p>
  </w:footnote>
  <w:footnote w:type="continuationSeparator" w:id="0">
    <w:p w14:paraId="234429F9" w14:textId="77777777" w:rsidR="005119E6" w:rsidRDefault="005119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B2264"/>
    <w:multiLevelType w:val="hybridMultilevel"/>
    <w:tmpl w:val="06683FE8"/>
    <w:lvl w:ilvl="0" w:tplc="FF96ECD0">
      <w:start w:val="1"/>
      <w:numFmt w:val="bullet"/>
      <w:lvlText w:val="•"/>
      <w:lvlJc w:val="left"/>
      <w:pPr>
        <w:ind w:left="720" w:hanging="360"/>
      </w:pPr>
    </w:lvl>
    <w:lvl w:ilvl="1" w:tplc="A1E09486">
      <w:numFmt w:val="decimal"/>
      <w:lvlText w:val=""/>
      <w:lvlJc w:val="left"/>
    </w:lvl>
    <w:lvl w:ilvl="2" w:tplc="853483EC">
      <w:numFmt w:val="decimal"/>
      <w:lvlText w:val=""/>
      <w:lvlJc w:val="left"/>
    </w:lvl>
    <w:lvl w:ilvl="3" w:tplc="62A8251A">
      <w:numFmt w:val="decimal"/>
      <w:lvlText w:val=""/>
      <w:lvlJc w:val="left"/>
    </w:lvl>
    <w:lvl w:ilvl="4" w:tplc="E118ED28">
      <w:numFmt w:val="decimal"/>
      <w:lvlText w:val=""/>
      <w:lvlJc w:val="left"/>
    </w:lvl>
    <w:lvl w:ilvl="5" w:tplc="A03EF368">
      <w:numFmt w:val="decimal"/>
      <w:lvlText w:val=""/>
      <w:lvlJc w:val="left"/>
    </w:lvl>
    <w:lvl w:ilvl="6" w:tplc="6576C4AC">
      <w:numFmt w:val="decimal"/>
      <w:lvlText w:val=""/>
      <w:lvlJc w:val="left"/>
    </w:lvl>
    <w:lvl w:ilvl="7" w:tplc="76E83AA6">
      <w:numFmt w:val="decimal"/>
      <w:lvlText w:val=""/>
      <w:lvlJc w:val="left"/>
    </w:lvl>
    <w:lvl w:ilvl="8" w:tplc="55EE0FCA">
      <w:numFmt w:val="decimal"/>
      <w:lvlText w:val=""/>
      <w:lvlJc w:val="left"/>
    </w:lvl>
  </w:abstractNum>
  <w:abstractNum w:abstractNumId="1" w15:restartNumberingAfterBreak="0">
    <w:nsid w:val="3D1B7BF0"/>
    <w:multiLevelType w:val="hybridMultilevel"/>
    <w:tmpl w:val="CD40B85E"/>
    <w:lvl w:ilvl="0" w:tplc="8CCE4DC6">
      <w:start w:val="1"/>
      <w:numFmt w:val="bullet"/>
      <w:lvlText w:val="●"/>
      <w:lvlJc w:val="left"/>
      <w:pPr>
        <w:ind w:left="720" w:hanging="360"/>
      </w:pPr>
    </w:lvl>
    <w:lvl w:ilvl="1" w:tplc="16CE1DBE">
      <w:start w:val="1"/>
      <w:numFmt w:val="bullet"/>
      <w:lvlText w:val="○"/>
      <w:lvlJc w:val="left"/>
      <w:pPr>
        <w:ind w:left="1440" w:hanging="360"/>
      </w:pPr>
    </w:lvl>
    <w:lvl w:ilvl="2" w:tplc="73EEE812">
      <w:start w:val="1"/>
      <w:numFmt w:val="bullet"/>
      <w:lvlText w:val="■"/>
      <w:lvlJc w:val="left"/>
      <w:pPr>
        <w:ind w:left="2160" w:hanging="360"/>
      </w:pPr>
    </w:lvl>
    <w:lvl w:ilvl="3" w:tplc="9D623B4A">
      <w:start w:val="1"/>
      <w:numFmt w:val="bullet"/>
      <w:lvlText w:val="●"/>
      <w:lvlJc w:val="left"/>
      <w:pPr>
        <w:ind w:left="2880" w:hanging="360"/>
      </w:pPr>
    </w:lvl>
    <w:lvl w:ilvl="4" w:tplc="D00AA40E">
      <w:start w:val="1"/>
      <w:numFmt w:val="bullet"/>
      <w:lvlText w:val="○"/>
      <w:lvlJc w:val="left"/>
      <w:pPr>
        <w:ind w:left="3600" w:hanging="360"/>
      </w:pPr>
    </w:lvl>
    <w:lvl w:ilvl="5" w:tplc="55308A46">
      <w:start w:val="1"/>
      <w:numFmt w:val="bullet"/>
      <w:lvlText w:val="■"/>
      <w:lvlJc w:val="left"/>
      <w:pPr>
        <w:ind w:left="4320" w:hanging="360"/>
      </w:pPr>
    </w:lvl>
    <w:lvl w:ilvl="6" w:tplc="11CABA56">
      <w:start w:val="1"/>
      <w:numFmt w:val="bullet"/>
      <w:lvlText w:val="●"/>
      <w:lvlJc w:val="left"/>
      <w:pPr>
        <w:ind w:left="5040" w:hanging="360"/>
      </w:pPr>
    </w:lvl>
    <w:lvl w:ilvl="7" w:tplc="E3ACF5B8">
      <w:start w:val="1"/>
      <w:numFmt w:val="bullet"/>
      <w:lvlText w:val="●"/>
      <w:lvlJc w:val="left"/>
      <w:pPr>
        <w:ind w:left="5760" w:hanging="360"/>
      </w:pPr>
    </w:lvl>
    <w:lvl w:ilvl="8" w:tplc="20F4A06A">
      <w:start w:val="1"/>
      <w:numFmt w:val="bullet"/>
      <w:lvlText w:val="●"/>
      <w:lvlJc w:val="left"/>
      <w:pPr>
        <w:ind w:left="6480" w:hanging="360"/>
      </w:pPr>
    </w:lvl>
  </w:abstractNum>
  <w:num w:numId="1" w16cid:durableId="947590472">
    <w:abstractNumId w:val="1"/>
    <w:lvlOverride w:ilvl="0">
      <w:startOverride w:val="1"/>
    </w:lvlOverride>
  </w:num>
  <w:num w:numId="2" w16cid:durableId="13887958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255"/>
    <w:rsid w:val="00025C33"/>
    <w:rsid w:val="000B7065"/>
    <w:rsid w:val="000E7BE8"/>
    <w:rsid w:val="00140608"/>
    <w:rsid w:val="00160BD0"/>
    <w:rsid w:val="00206421"/>
    <w:rsid w:val="0026667A"/>
    <w:rsid w:val="002B3103"/>
    <w:rsid w:val="0037316A"/>
    <w:rsid w:val="00384E28"/>
    <w:rsid w:val="004529C3"/>
    <w:rsid w:val="004B169B"/>
    <w:rsid w:val="004E5628"/>
    <w:rsid w:val="005119E6"/>
    <w:rsid w:val="00521128"/>
    <w:rsid w:val="005327E9"/>
    <w:rsid w:val="00581EDF"/>
    <w:rsid w:val="005E343B"/>
    <w:rsid w:val="006371FD"/>
    <w:rsid w:val="00664EDE"/>
    <w:rsid w:val="006930A5"/>
    <w:rsid w:val="006F5B02"/>
    <w:rsid w:val="007259B5"/>
    <w:rsid w:val="007A7DD6"/>
    <w:rsid w:val="0081319C"/>
    <w:rsid w:val="00A20D71"/>
    <w:rsid w:val="00AA7541"/>
    <w:rsid w:val="00BC7091"/>
    <w:rsid w:val="00C51612"/>
    <w:rsid w:val="00CE2AF1"/>
    <w:rsid w:val="00DC727C"/>
    <w:rsid w:val="00E22255"/>
    <w:rsid w:val="00E34EEB"/>
    <w:rsid w:val="00E939AD"/>
    <w:rsid w:val="00ED0D03"/>
    <w:rsid w:val="00F25F82"/>
    <w:rsid w:val="00F74ECC"/>
    <w:rsid w:val="00FC2F11"/>
    <w:rsid w:val="00FF776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558C40EF"/>
  <w15:docId w15:val="{76D5BCD8-443E-E44A-B33D-9B933AA80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200" w:after="100"/>
      <w:outlineLvl w:val="1"/>
    </w:pPr>
    <w:rPr>
      <w:b/>
      <w:bCs/>
      <w:sz w:val="28"/>
      <w:szCs w:val="28"/>
    </w:rPr>
  </w:style>
  <w:style w:type="paragraph" w:styleId="Heading3">
    <w:name w:val="heading 3"/>
    <w:uiPriority w:val="9"/>
    <w:unhideWhenUsed/>
    <w:qFormat/>
    <w:pPr>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5E343B"/>
    <w:rPr>
      <w:color w:val="666666"/>
    </w:rPr>
  </w:style>
  <w:style w:type="character" w:styleId="Strong">
    <w:name w:val="Strong"/>
    <w:basedOn w:val="DefaultParagraphFont"/>
    <w:uiPriority w:val="22"/>
    <w:qFormat/>
    <w:rsid w:val="007259B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1521</Words>
  <Characters>9556</Characters>
  <Application>Microsoft Office Word</Application>
  <DocSecurity>0</DocSecurity>
  <Lines>147</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 Zheng Chong</cp:lastModifiedBy>
  <cp:revision>9</cp:revision>
  <cp:lastPrinted>2026-04-10T03:55:00Z</cp:lastPrinted>
  <dcterms:created xsi:type="dcterms:W3CDTF">2026-04-10T03:42:00Z</dcterms:created>
  <dcterms:modified xsi:type="dcterms:W3CDTF">2026-04-10T03:59:00Z</dcterms:modified>
</cp:coreProperties>
</file>