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Conclusion</w:t>
      </w:r>
    </w:p>
    <w:p>
      <w:r>
        <w:t>Q4 2024 represents a strong finish to an exceptional year. Our financial performance, combined with strategic progress in key initiatives, positions us well for continued growth in 2025.</w:t>
      </w:r>
    </w:p>
    <w:p>
      <w:pPr>
        <w:pStyle w:val="Heading2"/>
      </w:pPr>
      <w:r>
        <w:t>Looking Forward</w:t>
      </w:r>
    </w:p>
    <w:p>
      <w:r>
        <w:t>As we enter 2025, we are confident in our ability to deliver value to all stakeholders. Our focus remains on sustainable growth, innovation, and operational excellence. With a strong balance sheet, talented team, and clear strategic direction, we are well-positioned to capitalize on emerging opportunities.</w:t>
      </w:r>
    </w:p>
    <w:p/>
    <w:p>
      <w:r>
        <w:t>Thank you for your continued support and confidence in ACME Corporation.</w:t>
      </w:r>
    </w:p>
    <w:p/>
    <w:p>
      <w:r>
        <w:rPr>
          <w:i/>
        </w:rPr>
        <w:t>For questions or additional information, please contact:</w:t>
      </w:r>
    </w:p>
    <w:p>
      <w:r>
        <w:t>Investor Relations: investors@acme.com</w:t>
      </w:r>
    </w:p>
    <w:p>
      <w:r>
        <w:t>Corporate Communications: press@acme.com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