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Q4 2024 Quarterly Report</w:t>
      </w:r>
    </w:p>
    <w:p/>
    <w:p/>
    <w:p/>
    <w:p>
      <w:pPr>
        <w:pStyle w:val="Heading1"/>
        <w:jc w:val="center"/>
      </w:pPr>
      <w:r>
        <w:t>ACME Corporation</w:t>
      </w:r>
    </w:p>
    <w:p>
      <w:pPr>
        <w:jc w:val="center"/>
      </w:pPr>
      <w:r>
        <w:rPr>
          <w:sz w:val="28"/>
        </w:rPr>
        <w:t>December 31, 2024</w:t>
      </w:r>
    </w:p>
    <w:p/>
    <w:p/>
    <w:p/>
    <w:p/>
    <w:p/>
    <w:p>
      <w:pPr>
        <w:jc w:val="center"/>
      </w:pPr>
      <w:r>
        <w:rPr>
          <w:b/>
          <w:color w:val="FF0000"/>
        </w:rPr>
        <w:t>CONFIDENTIAL - Internal Use Only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