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Executive Summary</w:t>
      </w:r>
    </w:p>
    <w:p>
      <w:pPr>
        <w:pStyle w:val="Heading2"/>
      </w:pPr>
      <w:r>
        <w:t>Performance Highlights</w:t>
      </w:r>
    </w:p>
    <w:p>
      <w:r>
        <w:t>• Revenue increased 15% year-over-year to $2.3B</w:t>
      </w:r>
    </w:p>
    <w:p>
      <w:r>
        <w:t>• Operating margin improved to 18.5%</w:t>
      </w:r>
    </w:p>
    <w:p>
      <w:r>
        <w:t>• Successful launch of three new product lines</w:t>
      </w:r>
    </w:p>
    <w:p>
      <w:r>
        <w:t>• Expanded into two new geographic markets</w:t>
      </w:r>
    </w:p>
    <w:p>
      <w:pPr>
        <w:pStyle w:val="Heading2"/>
      </w:pPr>
      <w:r>
        <w:t>Key Achievements</w:t>
      </w:r>
    </w:p>
    <w:p>
      <w:r>
        <w:t>This quarter marked significant progress in our digital transformation initiative. We successfully migrated 75% of our infrastructure to the cloud, resulting in 30% reduction in operational costs and improved system reliability.</w:t>
      </w:r>
    </w:p>
    <w:p>
      <w:pPr>
        <w:pStyle w:val="Heading2"/>
      </w:pPr>
      <w:r>
        <w:t>Strategic Focus</w:t>
      </w:r>
    </w:p>
    <w:p>
      <w:r>
        <w:t>Looking ahead, we remain focused on sustainable growth through innovation and operational excellence. Our investments in R&amp;D continue to yield positive results with a robust pipeline of products scheduled for 2025 release.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