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Financial Overview</w:t>
      </w:r>
    </w:p>
    <w:p>
      <w:r>
        <w:t>Q4 2024 demonstrated strong financial performance across all business units.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Metric</w:t>
            </w:r>
          </w:p>
        </w:tc>
        <w:tc>
          <w:tcPr>
            <w:tcW w:type="dxa" w:w="2160"/>
          </w:tcPr>
          <w:p>
            <w:r>
              <w:rPr>
                <w:b/>
              </w:rPr>
              <w:t>Q4 2024</w:t>
            </w:r>
          </w:p>
        </w:tc>
        <w:tc>
          <w:tcPr>
            <w:tcW w:type="dxa" w:w="2160"/>
          </w:tcPr>
          <w:p>
            <w:r>
              <w:rPr>
                <w:b/>
              </w:rPr>
              <w:t>Q4 2023</w:t>
            </w:r>
          </w:p>
        </w:tc>
        <w:tc>
          <w:tcPr>
            <w:tcW w:type="dxa" w:w="2160"/>
          </w:tcPr>
          <w:p>
            <w:r>
              <w:rPr>
                <w:b/>
              </w:rPr>
              <w:t>YoY Change</w:t>
            </w:r>
          </w:p>
        </w:tc>
      </w:tr>
      <w:tr>
        <w:tc>
          <w:tcPr>
            <w:tcW w:type="dxa" w:w="2160"/>
          </w:tcPr>
          <w:p>
            <w:r>
              <w:t>Revenue</w:t>
            </w:r>
          </w:p>
        </w:tc>
        <w:tc>
          <w:tcPr>
            <w:tcW w:type="dxa" w:w="2160"/>
          </w:tcPr>
          <w:p>
            <w:r>
              <w:t>$2.3B</w:t>
            </w:r>
          </w:p>
        </w:tc>
        <w:tc>
          <w:tcPr>
            <w:tcW w:type="dxa" w:w="2160"/>
          </w:tcPr>
          <w:p>
            <w:r>
              <w:t>$2.0B</w:t>
            </w:r>
          </w:p>
        </w:tc>
        <w:tc>
          <w:tcPr>
            <w:tcW w:type="dxa" w:w="2160"/>
          </w:tcPr>
          <w:p>
            <w:r>
              <w:t>+15%</w:t>
            </w:r>
          </w:p>
        </w:tc>
      </w:tr>
      <w:tr>
        <w:tc>
          <w:tcPr>
            <w:tcW w:type="dxa" w:w="2160"/>
          </w:tcPr>
          <w:p>
            <w:r>
              <w:t>Gross Margin</w:t>
            </w:r>
          </w:p>
        </w:tc>
        <w:tc>
          <w:tcPr>
            <w:tcW w:type="dxa" w:w="2160"/>
          </w:tcPr>
          <w:p>
            <w:r>
              <w:t>42.5%</w:t>
            </w:r>
          </w:p>
        </w:tc>
        <w:tc>
          <w:tcPr>
            <w:tcW w:type="dxa" w:w="2160"/>
          </w:tcPr>
          <w:p>
            <w:r>
              <w:t>40.1%</w:t>
            </w:r>
          </w:p>
        </w:tc>
        <w:tc>
          <w:tcPr>
            <w:tcW w:type="dxa" w:w="2160"/>
          </w:tcPr>
          <w:p>
            <w:r>
              <w:t>+2.4pp</w:t>
            </w:r>
          </w:p>
        </w:tc>
      </w:tr>
      <w:tr>
        <w:tc>
          <w:tcPr>
            <w:tcW w:type="dxa" w:w="2160"/>
          </w:tcPr>
          <w:p>
            <w:r>
              <w:t>Operating Income</w:t>
            </w:r>
          </w:p>
        </w:tc>
        <w:tc>
          <w:tcPr>
            <w:tcW w:type="dxa" w:w="2160"/>
          </w:tcPr>
          <w:p>
            <w:r>
              <w:t>$425M</w:t>
            </w:r>
          </w:p>
        </w:tc>
        <w:tc>
          <w:tcPr>
            <w:tcW w:type="dxa" w:w="2160"/>
          </w:tcPr>
          <w:p>
            <w:r>
              <w:t>$360M</w:t>
            </w:r>
          </w:p>
        </w:tc>
        <w:tc>
          <w:tcPr>
            <w:tcW w:type="dxa" w:w="2160"/>
          </w:tcPr>
          <w:p>
            <w:r>
              <w:t>+18%</w:t>
            </w:r>
          </w:p>
        </w:tc>
      </w:tr>
      <w:tr>
        <w:tc>
          <w:tcPr>
            <w:tcW w:type="dxa" w:w="2160"/>
          </w:tcPr>
          <w:p>
            <w:r>
              <w:t>Net Income</w:t>
            </w:r>
          </w:p>
        </w:tc>
        <w:tc>
          <w:tcPr>
            <w:tcW w:type="dxa" w:w="2160"/>
          </w:tcPr>
          <w:p>
            <w:r>
              <w:t>$310M</w:t>
            </w:r>
          </w:p>
        </w:tc>
        <w:tc>
          <w:tcPr>
            <w:tcW w:type="dxa" w:w="2160"/>
          </w:tcPr>
          <w:p>
            <w:r>
              <w:t>$265M</w:t>
            </w:r>
          </w:p>
        </w:tc>
        <w:tc>
          <w:tcPr>
            <w:tcW w:type="dxa" w:w="2160"/>
          </w:tcPr>
          <w:p>
            <w:r>
              <w:t>+17%</w:t>
            </w:r>
          </w:p>
        </w:tc>
      </w:tr>
    </w:tbl>
    <w:p/>
    <w:p>
      <w:r>
        <w:t>The strong financial performance was driven by increased demand in our core markets and successful cost optimization initiatives implemented throughout the year.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