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Market Analysis</w:t>
      </w:r>
    </w:p>
    <w:p>
      <w:pPr>
        <w:pStyle w:val="Heading2"/>
      </w:pPr>
      <w:r>
        <w:t>Industry Trends</w:t>
      </w:r>
    </w:p>
    <w:p>
      <w:r>
        <w:t>The global market for our products continues to expand at a CAGR of 12%, driven by digital transformation initiatives and increasing automation adoption.</w:t>
      </w:r>
    </w:p>
    <w:p>
      <w:pPr>
        <w:pStyle w:val="Heading2"/>
      </w:pPr>
      <w:r>
        <w:t>Competitive Position</w:t>
      </w:r>
    </w:p>
    <w:p>
      <w:r>
        <w:t>• Market share increased to 23% (up from 21%)</w:t>
      </w:r>
    </w:p>
    <w:p>
      <w:r>
        <w:t>• Ranked #2 in customer satisfaction surveys</w:t>
      </w:r>
    </w:p>
    <w:p>
      <w:r>
        <w:t>• Leading position in emerging markets</w:t>
      </w:r>
    </w:p>
    <w:p>
      <w:pPr>
        <w:pStyle w:val="Heading2"/>
      </w:pPr>
      <w:r>
        <w:t>Growth Opportunities</w:t>
      </w:r>
    </w:p>
    <w:p>
      <w:r>
        <w:t>We have identified several high-growth segments that align with our core competencies. The enterprise segment shows particular promise with expected growth of 20% annually.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