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Assessment</w:t>
      </w:r>
    </w:p>
    <w:p>
      <w:pPr>
        <w:pStyle w:val="Heading2"/>
      </w:pPr>
      <w:r>
        <w:t>Key Risk Factors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Risk Category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Impact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880"/>
          </w:tcPr>
          <w:p>
            <w:r>
              <w:t>Supply Chain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Diversified supplier base, increased inventory</w:t>
            </w:r>
          </w:p>
        </w:tc>
      </w:tr>
      <w:tr>
        <w:tc>
          <w:tcPr>
            <w:tcW w:type="dxa" w:w="2880"/>
          </w:tcPr>
          <w:p>
            <w:r>
              <w:t>Regulatory</w:t>
            </w:r>
          </w:p>
        </w:tc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Compliance team, regular audits</w:t>
            </w:r>
          </w:p>
        </w:tc>
      </w:tr>
      <w:tr>
        <w:tc>
          <w:tcPr>
            <w:tcW w:type="dxa" w:w="2880"/>
          </w:tcPr>
          <w:p>
            <w:r>
              <w:t>Market Competition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Innovation focus, customer retention programs</w:t>
            </w:r>
          </w:p>
        </w:tc>
      </w:tr>
    </w:tbl>
    <w:p/>
    <w:p>
      <w:r>
        <w:t>Our risk management framework continues to evolve with regular assessments and proactive mitigation strategies. The Risk Committee meets quarterly to review and update our risk profile.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