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Strategic Initiatives</w:t>
      </w:r>
    </w:p>
    <w:p>
      <w:pPr>
        <w:pStyle w:val="Heading2"/>
      </w:pPr>
      <w:r>
        <w:t>Digital Transformation</w:t>
      </w:r>
    </w:p>
    <w:p>
      <w:r>
        <w:t>Our digital transformation program is ahead of schedule with 75% of systems migrated to cloud infrastructure. This initiative has already delivered $15M in annual cost savings.</w:t>
      </w:r>
    </w:p>
    <w:p>
      <w:pPr>
        <w:pStyle w:val="Heading2"/>
      </w:pPr>
      <w:r>
        <w:t>Innovation Pipeline</w:t>
      </w:r>
    </w:p>
    <w:p>
      <w:r>
        <w:t>• 5 new products in final testing phase</w:t>
      </w:r>
    </w:p>
    <w:p>
      <w:r>
        <w:t>• 12 patents filed this quarter</w:t>
      </w:r>
    </w:p>
    <w:p>
      <w:r>
        <w:t>• R&amp;D investment increased to 8% of revenue</w:t>
      </w:r>
    </w:p>
    <w:p>
      <w:pPr>
        <w:pStyle w:val="Heading2"/>
      </w:pPr>
      <w:r>
        <w:t>Sustainability Goals</w:t>
      </w:r>
    </w:p>
    <w:p>
      <w:r>
        <w:t>We remain committed to our 2030 sustainability targets. This quarter, we achieved a 10% reduction in carbon emissions and transitioned 30% of our facilities to renewable energy 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