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24.png" ContentType="image/png"/>
  <Override PartName="/word/media/image3.png" ContentType="image/png"/>
  <Override PartName="/word/media/image15.png" ContentType="image/png"/>
  <Override PartName="/word/media/image4.png" ContentType="image/png"/>
  <Override PartName="/word/media/image8.png" ContentType="image/png"/>
  <Override PartName="/word/media/image11.png" ContentType="image/png"/>
  <Override PartName="/word/media/image17.png" ContentType="image/png"/>
  <Override PartName="/word/media/image20.png" ContentType="image/png"/>
  <Override PartName="/word/media/image21.png" ContentType="image/png"/>
  <Override PartName="/word/media/image9.png" ContentType="image/png"/>
  <Override PartName="/word/media/image25.png" ContentType="image/png"/>
  <Override PartName="/word/media/image18.png" ContentType="image/png"/>
  <Override PartName="/word/media/image1.png" ContentType="image/png"/>
  <Override PartName="/word/media/image22.png" ContentType="image/png"/>
  <Override PartName="/word/media/image13.png" ContentType="image/png"/>
  <Override PartName="/word/media/image26.png" ContentType="image/png"/>
  <Override PartName="/word/media/image2.png" ContentType="image/png"/>
  <Override PartName="/word/media/image27.png" ContentType="image/png"/>
  <Override PartName="/word/media/image23.png" ContentType="image/png"/>
  <Override PartName="/word/media/image10.png" ContentType="image/png"/>
  <Override PartName="/word/media/image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Team Members:</w:t>
      </w:r>
      <w:r>
        <w:br/>
      </w:r>
      <w:r>
        <w:t xml:space="preserve">Ariella Morris (TL)</w:t>
      </w:r>
    </w:p>
    <w:p>
      <w:pPr>
        <w:pStyle w:val="BodyText"/>
      </w:pPr>
      <w:r>
        <w:t xml:space="preserve">Prim Mangkhalathanakun</w:t>
      </w:r>
    </w:p>
    <w:p>
      <w:pPr>
        <w:pStyle w:val="BodyText"/>
      </w:pPr>
      <w:r>
        <w:t xml:space="preserve">Stefanos Ioannidis</w:t>
      </w:r>
    </w:p>
    <w:p>
      <w:pPr>
        <w:pStyle w:val="BodyText"/>
      </w:pPr>
      <w:r>
        <w:t xml:space="preserve">Adithya Mendis</w:t>
      </w:r>
      <w:r>
        <w:br/>
      </w:r>
      <w:r>
        <w:t xml:space="preserve">Mathias Tidball</w:t>
      </w:r>
    </w:p>
    <w:p>
      <w:pPr>
        <w:pStyle w:val="BodyText"/>
      </w:pPr>
      <w:r>
        <w:t xml:space="preserve">Eima Miyasaka</w:t>
      </w:r>
    </w:p>
    <w:bookmarkStart w:id="51" w:name="acronyms"/>
    <w:p>
      <w:pPr>
        <w:pStyle w:val="Heading3"/>
      </w:pPr>
      <w:r>
        <w:t xml:space="preserve">Acronyms:</w:t>
      </w:r>
    </w:p>
    <w:p>
      <w:pPr>
        <w:pStyle w:val="FirstParagraph"/>
      </w:pPr>
      <w:r>
        <w:t xml:space="preserve">(For Section 7)</w:t>
      </w:r>
    </w:p>
    <w:p>
      <w:pPr>
        <w:pStyle w:val="BodyText"/>
      </w:pPr>
      <w:r>
        <w:rPr>
          <w:b/>
          <w:bCs/>
        </w:rPr>
        <w:t xml:space="preserve">ANS</w:t>
      </w:r>
      <w:r>
        <w:t xml:space="preserve"> </w:t>
      </w:r>
      <w:r>
        <w:t xml:space="preserve">— American Nuclear Society</w:t>
      </w:r>
    </w:p>
    <w:p>
      <w:pPr>
        <w:pStyle w:val="BodyText"/>
      </w:pPr>
      <w:r>
        <w:rPr>
          <w:b/>
          <w:bCs/>
        </w:rPr>
        <w:t xml:space="preserve">D-LOFC</w:t>
      </w:r>
      <w:r>
        <w:t xml:space="preserve"> </w:t>
      </w:r>
      <w:r>
        <w:t xml:space="preserve">— Depressurised Loss of Forced Cooling</w:t>
      </w:r>
    </w:p>
    <w:p>
      <w:pPr>
        <w:pStyle w:val="BodyText"/>
      </w:pPr>
      <w:r>
        <w:rPr>
          <w:b/>
          <w:bCs/>
        </w:rPr>
        <w:t xml:space="preserve">DiD</w:t>
      </w:r>
      <w:r>
        <w:t xml:space="preserve"> </w:t>
      </w:r>
      <w:r>
        <w:t xml:space="preserve">— Defence-in-Depth</w:t>
      </w:r>
    </w:p>
    <w:p>
      <w:pPr>
        <w:pStyle w:val="BodyText"/>
      </w:pPr>
      <w:r>
        <w:rPr>
          <w:b/>
          <w:bCs/>
        </w:rPr>
        <w:t xml:space="preserve">HTGR</w:t>
      </w:r>
      <w:r>
        <w:t xml:space="preserve"> </w:t>
      </w:r>
      <w:r>
        <w:t xml:space="preserve">— High Temperature Gas-cooled Reactor</w:t>
      </w:r>
    </w:p>
    <w:p>
      <w:pPr>
        <w:pStyle w:val="BodyText"/>
      </w:pPr>
      <w:r>
        <w:rPr>
          <w:b/>
          <w:bCs/>
        </w:rPr>
        <w:t xml:space="preserve">HTTR</w:t>
      </w:r>
      <w:r>
        <w:t xml:space="preserve"> </w:t>
      </w:r>
      <w:r>
        <w:t xml:space="preserve">— High Temperature Engineering Test Reactor</w:t>
      </w:r>
    </w:p>
    <w:p>
      <w:pPr>
        <w:pStyle w:val="BodyText"/>
      </w:pPr>
      <w:r>
        <w:rPr>
          <w:b/>
          <w:bCs/>
        </w:rPr>
        <w:t xml:space="preserve">IAEA</w:t>
      </w:r>
      <w:r>
        <w:t xml:space="preserve"> </w:t>
      </w:r>
      <w:r>
        <w:t xml:space="preserve">— International Atomic Energy Agency</w:t>
      </w:r>
    </w:p>
    <w:p>
      <w:pPr>
        <w:pStyle w:val="BodyText"/>
      </w:pPr>
      <w:r>
        <w:rPr>
          <w:b/>
          <w:bCs/>
        </w:rPr>
        <w:t xml:space="preserve">INSAG</w:t>
      </w:r>
      <w:r>
        <w:t xml:space="preserve"> </w:t>
      </w:r>
      <w:r>
        <w:t xml:space="preserve">— International Nuclear Safety Advisory Group</w:t>
      </w:r>
    </w:p>
    <w:p>
      <w:pPr>
        <w:pStyle w:val="BodyText"/>
      </w:pPr>
      <w:r>
        <w:rPr>
          <w:b/>
          <w:bCs/>
        </w:rPr>
        <w:t xml:space="preserve">JAEA</w:t>
      </w:r>
      <w:r>
        <w:t xml:space="preserve"> </w:t>
      </w:r>
      <w:r>
        <w:t xml:space="preserve">— Japan Atomic Energy Agency</w:t>
      </w:r>
    </w:p>
    <w:p>
      <w:pPr>
        <w:pStyle w:val="BodyText"/>
      </w:pPr>
      <w:r>
        <w:rPr>
          <w:b/>
          <w:bCs/>
        </w:rPr>
        <w:t xml:space="preserve">LOFC</w:t>
      </w:r>
      <w:r>
        <w:t xml:space="preserve"> </w:t>
      </w:r>
      <w:r>
        <w:t xml:space="preserve">— Loss of Forced Cooling</w:t>
      </w:r>
    </w:p>
    <w:p>
      <w:pPr>
        <w:pStyle w:val="BodyText"/>
      </w:pPr>
      <w:r>
        <w:rPr>
          <w:b/>
          <w:bCs/>
        </w:rPr>
        <w:t xml:space="preserve">PyC</w:t>
      </w:r>
      <w:r>
        <w:t xml:space="preserve"> </w:t>
      </w:r>
      <w:r>
        <w:t xml:space="preserve">— Pyrolytic Carbon</w:t>
      </w:r>
    </w:p>
    <w:p>
      <w:pPr>
        <w:pStyle w:val="BodyText"/>
      </w:pPr>
      <w:r>
        <w:rPr>
          <w:b/>
          <w:bCs/>
        </w:rPr>
        <w:t xml:space="preserve">RCCS</w:t>
      </w:r>
      <w:r>
        <w:t xml:space="preserve"> </w:t>
      </w:r>
      <w:r>
        <w:t xml:space="preserve">— Reactor Cavity Cooling System</w:t>
      </w:r>
    </w:p>
    <w:p>
      <w:pPr>
        <w:pStyle w:val="BodyText"/>
      </w:pPr>
      <w:r>
        <w:rPr>
          <w:b/>
          <w:bCs/>
        </w:rPr>
        <w:t xml:space="preserve">RPV</w:t>
      </w:r>
      <w:r>
        <w:t xml:space="preserve"> </w:t>
      </w:r>
      <w:r>
        <w:t xml:space="preserve">— Reactor Pressure Vessel</w:t>
      </w:r>
    </w:p>
    <w:p>
      <w:pPr>
        <w:pStyle w:val="BodyText"/>
      </w:pPr>
      <w:r>
        <w:rPr>
          <w:b/>
          <w:bCs/>
        </w:rPr>
        <w:t xml:space="preserve">SCRAM</w:t>
      </w:r>
      <w:r>
        <w:t xml:space="preserve"> </w:t>
      </w:r>
      <w:r>
        <w:t xml:space="preserve">— Safety Control Rod Axe Man (emergency reactor shutdown)</w:t>
      </w:r>
    </w:p>
    <w:p>
      <w:pPr>
        <w:pStyle w:val="BodyText"/>
      </w:pPr>
      <w:r>
        <w:rPr>
          <w:b/>
          <w:bCs/>
        </w:rPr>
        <w:t xml:space="preserve">SiC</w:t>
      </w:r>
      <w:r>
        <w:t xml:space="preserve"> </w:t>
      </w:r>
      <w:r>
        <w:t xml:space="preserve">— Silicon Carbide</w:t>
      </w:r>
    </w:p>
    <w:p>
      <w:pPr>
        <w:pStyle w:val="BodyText"/>
      </w:pPr>
      <w:r>
        <w:rPr>
          <w:b/>
          <w:bCs/>
        </w:rPr>
        <w:t xml:space="preserve">TRISO</w:t>
      </w:r>
      <w:r>
        <w:t xml:space="preserve"> </w:t>
      </w:r>
      <w:r>
        <w:t xml:space="preserve">— TRi-structural ISOtropic (coated fuel particle)</w:t>
      </w:r>
    </w:p>
    <w:bookmarkEnd w:id="51"/>
    <w:bookmarkStart w:id="52" w:name="X8bb9d984c563c6c3c3e3e5e28ec7c7a9c143a58"/>
    <w:p>
      <w:pPr>
        <w:pStyle w:val="Heading1"/>
      </w:pPr>
      <w:r>
        <w:t xml:space="preserve">Section 1 - Introduction and Project Overview</w:t>
      </w:r>
    </w:p>
    <w:p>
      <w:pPr>
        <w:pStyle w:val="FirstParagraph"/>
      </w:pPr>
      <w:r>
        <w:t xml:space="preserve">The global energy transition presents one of the most significant</w:t>
      </w:r>
      <w:r>
        <w:t xml:space="preserve"> </w:t>
      </w:r>
      <w:r>
        <w:t xml:space="preserve">engineering challenges of our generation. Hard-to-abate sectors -</w:t>
      </w:r>
      <w:r>
        <w:t xml:space="preserve"> </w:t>
      </w:r>
      <w:r>
        <w:t xml:space="preserve">aviation, shipping, and heavy freight - contribute approximately 30% of</w:t>
      </w:r>
      <w:r>
        <w:t xml:space="preserve"> </w:t>
      </w:r>
      <w:r>
        <w:t xml:space="preserve">global energy-related emissions (Sharmina et al, 2020), yet remain</w:t>
      </w:r>
      <w:r>
        <w:t xml:space="preserve"> </w:t>
      </w:r>
      <w:r>
        <w:t xml:space="preserve">largely inaccessible to direct electrification. Addressing this gap</w:t>
      </w:r>
      <w:r>
        <w:t xml:space="preserve"> </w:t>
      </w:r>
      <w:r>
        <w:t xml:space="preserve">demands a fundamentally different approach: clean, energy-dense</w:t>
      </w:r>
      <w:r>
        <w:t xml:space="preserve"> </w:t>
      </w:r>
      <w:r>
        <w:t xml:space="preserve">synthetic fuels produced at scale, without dependence on constrained</w:t>
      </w:r>
      <w:r>
        <w:t xml:space="preserve"> </w:t>
      </w:r>
      <w:r>
        <w:t xml:space="preserve">resources.</w:t>
      </w:r>
    </w:p>
    <w:p>
      <w:pPr>
        <w:pStyle w:val="BodyText"/>
      </w:pPr>
      <w:r>
        <w:t xml:space="preserve">This report presents a water-independent, nuclear-enabled</w:t>
      </w:r>
      <w:r>
        <w:t xml:space="preserve"> </w:t>
      </w:r>
      <w:r>
        <w:t xml:space="preserve">Power-to-Liquids system in which a High Temperature Gas-cooled Reactor</w:t>
      </w:r>
      <w:r>
        <w:t xml:space="preserve"> </w:t>
      </w:r>
      <w:r>
        <w:t xml:space="preserve">(HTGR) is coupled to a supercritical CO2 recompression Brayton cycle,</w:t>
      </w:r>
      <w:r>
        <w:t xml:space="preserve"> </w:t>
      </w:r>
      <w:r>
        <w:t xml:space="preserve">direct air capture (DAC), high-temperature steam electrolysis (HTSE),</w:t>
      </w:r>
      <w:r>
        <w:t xml:space="preserve"> </w:t>
      </w:r>
      <w:r>
        <w:t xml:space="preserve">and methanol synthesis.</w:t>
      </w:r>
    </w:p>
    <w:p>
      <w:pPr>
        <w:pStyle w:val="BodyText"/>
      </w:pPr>
      <w:r>
        <w:t xml:space="preserve">The locked headline case used consistently in this final report is</w:t>
      </w:r>
      <w:r>
        <w:t xml:space="preserve"> </w:t>
      </w:r>
      <w:r>
        <w:rPr>
          <w:rStyle w:val="VerbatimChar"/>
        </w:rPr>
        <w:t xml:space="preserve">S2_30MW_FUELDISP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fuel_displacement</w:t>
      </w:r>
      <w:r>
        <w:t xml:space="preserve"> </w:t>
      </w:r>
      <w:r>
        <w:t xml:space="preserve">boundary. For this</w:t>
      </w:r>
      <w:r>
        <w:t xml:space="preserve"> </w:t>
      </w:r>
      <w:r>
        <w:t xml:space="preserve">validated baseline, the model converges to a feasible plant at 30.0</w:t>
      </w:r>
      <w:r>
        <w:t xml:space="preserve"> </w:t>
      </w:r>
      <w:r>
        <w:t xml:space="preserve">MWth with 9.939 MWe net output, 33.90% thermal efficiency, 33.13% net</w:t>
      </w:r>
      <w:r>
        <w:t xml:space="preserve"> </w:t>
      </w:r>
      <w:r>
        <w:t xml:space="preserve">efficiency, and 9,898 tCO2/year net reduction, corresponding to a</w:t>
      </w:r>
      <w:r>
        <w:t xml:space="preserve"> </w:t>
      </w:r>
      <w:r>
        <w:t xml:space="preserve">primary figure of merit of 329.9 tCO2/MWth/year.</w:t>
      </w:r>
    </w:p>
    <w:p>
      <w:pPr>
        <w:pStyle w:val="BodyText"/>
      </w:pPr>
      <w:r>
        <w:t xml:space="preserve">Earlier 36 MWth framing is retained only as historical development</w:t>
      </w:r>
      <w:r>
        <w:t xml:space="preserve"> </w:t>
      </w:r>
      <w:r>
        <w:t xml:space="preserve">context and sensitivity evidence; it is not used as the headline final</w:t>
      </w:r>
      <w:r>
        <w:t xml:space="preserve"> </w:t>
      </w:r>
      <w:r>
        <w:t xml:space="preserve">result basis.</w:t>
      </w:r>
    </w:p>
    <w:p>
      <w:pPr>
        <w:pStyle w:val="BodyText"/>
      </w:pPr>
      <w:r>
        <w:t xml:space="preserve">Every design decision, from power conversion selection to carbon</w:t>
      </w:r>
      <w:r>
        <w:t xml:space="preserve"> </w:t>
      </w:r>
      <w:r>
        <w:t xml:space="preserve">accounting methodology, was made through a documented,</w:t>
      </w:r>
      <w:r>
        <w:t xml:space="preserve"> </w:t>
      </w:r>
      <w:r>
        <w:t xml:space="preserve">assumption-tracked process underpinned by rigorous modelling and</w:t>
      </w:r>
      <w:r>
        <w:t xml:space="preserve"> </w:t>
      </w:r>
      <w:r>
        <w:t xml:space="preserve">independent verification and validation.</w:t>
      </w:r>
    </w:p>
    <w:p>
      <w:pPr>
        <w:pStyle w:val="BodyText"/>
      </w:pPr>
      <w:r>
        <w:t xml:space="preserve">The report proceeds as follows: concept down-selection and architecture</w:t>
      </w:r>
      <w:r>
        <w:t xml:space="preserve"> </w:t>
      </w:r>
      <w:r>
        <w:t xml:space="preserve">(Sections 2-3), modelling development and V&amp;V (Sections 4-5), results</w:t>
      </w:r>
      <w:r>
        <w:t xml:space="preserve"> </w:t>
      </w:r>
      <w:r>
        <w:t xml:space="preserve">and figures of merit (Section 6), safety philosophy (Section 7), and</w:t>
      </w:r>
      <w:r>
        <w:t xml:space="preserve"> </w:t>
      </w:r>
      <w:r>
        <w:t xml:space="preserve">team structure, challenges and future work (Sections 8-9).</w:t>
      </w:r>
    </w:p>
    <w:bookmarkEnd w:id="52"/>
    <w:bookmarkStart w:id="56" w:name="Xfe269df395326ff4f4e04df74d82b70075495bb"/>
    <w:p>
      <w:pPr>
        <w:pStyle w:val="Heading1"/>
      </w:pPr>
      <w:r>
        <w:t xml:space="preserve">Section 2 - Concept Overview and Down-Selection</w:t>
      </w:r>
    </w:p>
    <w:bookmarkStart w:id="53" w:name="X229958c51799eae9ea8853b36d72eb84627fa55"/>
    <w:p>
      <w:pPr>
        <w:pStyle w:val="Heading3"/>
      </w:pPr>
      <w:r>
        <w:t xml:space="preserve">2.1 Design Objective and Constraint</w:t>
      </w:r>
    </w:p>
    <w:p>
      <w:pPr>
        <w:pStyle w:val="FirstParagraph"/>
      </w:pPr>
      <w:r>
        <w:t xml:space="preserve">The design objective was to maximize defensible net CO2 reduction while</w:t>
      </w:r>
      <w:r>
        <w:t xml:space="preserve"> </w:t>
      </w:r>
      <w:r>
        <w:t xml:space="preserve">preserving engineering feasibility under a strict water-independent heat</w:t>
      </w:r>
      <w:r>
        <w:t xml:space="preserve"> </w:t>
      </w:r>
      <w:r>
        <w:t xml:space="preserve">rejection requirement. This made cooling architecture, process</w:t>
      </w:r>
      <w:r>
        <w:t xml:space="preserve"> </w:t>
      </w:r>
      <w:r>
        <w:t xml:space="preserve">integration, and carbon accounting boundary definitions first-order</w:t>
      </w:r>
      <w:r>
        <w:t xml:space="preserve"> </w:t>
      </w:r>
      <w:r>
        <w:t xml:space="preserve">design choices rather than secondary checks.</w:t>
      </w:r>
    </w:p>
    <w:bookmarkEnd w:id="53"/>
    <w:bookmarkStart w:id="54" w:name="X8bc28459c10c5263aa3724f468f89c92e235d1e"/>
    <w:p>
      <w:pPr>
        <w:pStyle w:val="Heading3"/>
      </w:pPr>
      <w:r>
        <w:t xml:space="preserve">2.2 Application Selection (Pugh Matrix)</w:t>
      </w:r>
    </w:p>
    <w:p>
      <w:pPr>
        <w:pStyle w:val="FirstParagraph"/>
      </w:pPr>
      <w:r>
        <w:t xml:space="preserve">The application down-selection compared electricity export, hydrogen,</w:t>
      </w:r>
      <w:r>
        <w:t xml:space="preserve"> </w:t>
      </w:r>
      <w:r>
        <w:t xml:space="preserve">and e-methanol pathways.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Electricity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E-methanol (selected)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 reduction potential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Water-independence 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Transportability/logistics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Heat-integration potential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</w:t>
            </w:r>
          </w:p>
        </w:tc>
      </w:tr>
    </w:tbl>
    <w:p>
      <w:pPr>
        <w:pStyle w:val="BodyText"/>
      </w:pPr>
      <w:r>
        <w:t xml:space="preserve">Decision: e-methanol provided the strongest combined score across carbon</w:t>
      </w:r>
      <w:r>
        <w:t xml:space="preserve"> </w:t>
      </w:r>
      <w:r>
        <w:t xml:space="preserve">impact, logistics practicality, and thermal-integration opportunity.</w:t>
      </w:r>
    </w:p>
    <w:bookmarkEnd w:id="54"/>
    <w:bookmarkStart w:id="55" w:name="Xbdd65a402765456d161ff8253bfd1a066319e51"/>
    <w:p>
      <w:pPr>
        <w:pStyle w:val="Heading3"/>
      </w:pPr>
      <w:r>
        <w:t xml:space="preserve">2.3 Carbon Capture and Power-Cycle Selections</w:t>
      </w:r>
    </w:p>
    <w:p>
      <w:pPr>
        <w:pStyle w:val="FirstParagraph"/>
      </w:pPr>
      <w:r>
        <w:t xml:space="preserve">Solid sorbent DAC was selected over high-temperature liquid-solvent</w:t>
      </w:r>
      <w:r>
        <w:t xml:space="preserve"> </w:t>
      </w:r>
      <w:r>
        <w:t xml:space="preserve">capture due to direct compatibility with low-grade heat. Recompression</w:t>
      </w:r>
      <w:r>
        <w:t xml:space="preserve"> </w:t>
      </w:r>
      <w:r>
        <w:t xml:space="preserve">sCO2 Brayton conversion was selected over steam Rankine due to dry</w:t>
      </w:r>
      <w:r>
        <w:t xml:space="preserve"> </w:t>
      </w:r>
      <w:r>
        <w:t xml:space="preserve">cooling feasibility, compactness, and integration with the HTGR outlet</w:t>
      </w:r>
      <w:r>
        <w:t xml:space="preserve"> </w:t>
      </w:r>
      <w:r>
        <w:t xml:space="preserve">temperature regime.</w:t>
      </w:r>
    </w:p>
    <w:bookmarkEnd w:id="55"/>
    <w:bookmarkEnd w:id="56"/>
    <w:bookmarkStart w:id="57" w:name="Xeeb314631770076aa861564aa79f294663433ec"/>
    <w:p>
      <w:pPr>
        <w:pStyle w:val="Heading1"/>
      </w:pPr>
      <w:r>
        <w:t xml:space="preserve">Section 3 - Integrated System Architecture</w:t>
      </w:r>
    </w:p>
    <w:p>
      <w:pPr>
        <w:pStyle w:val="FirstParagraph"/>
      </w:pPr>
      <w:r>
        <w:t xml:space="preserve">The final architecture is split into three coupled zones: nuclear</w:t>
      </w:r>
      <w:r>
        <w:t xml:space="preserve"> </w:t>
      </w:r>
      <w:r>
        <w:t xml:space="preserve">island, power conversion island, and process island.</w:t>
      </w:r>
    </w:p>
    <w:p>
      <w:pPr>
        <w:pStyle w:val="Compact"/>
        <w:numPr>
          <w:ilvl w:val="0"/>
          <w:numId w:val="1001"/>
        </w:numPr>
      </w:pPr>
      <w:r>
        <w:t xml:space="preserve">Nuclear island: HTGR thermal source with IHX as the physical</w:t>
      </w:r>
      <w:r>
        <w:t xml:space="preserve"> </w:t>
      </w:r>
      <w:r>
        <w:t xml:space="preserve">isolation barrier.</w:t>
      </w:r>
    </w:p>
    <w:p>
      <w:pPr>
        <w:pStyle w:val="Compact"/>
        <w:numPr>
          <w:ilvl w:val="0"/>
          <w:numId w:val="1001"/>
        </w:numPr>
      </w:pPr>
      <w:r>
        <w:t xml:space="preserve">Power conversion island: recompression sCO2 cycle delivering net</w:t>
      </w:r>
      <w:r>
        <w:t xml:space="preserve"> </w:t>
      </w:r>
      <w:r>
        <w:t xml:space="preserve">electrical power and rejected-heat streams.</w:t>
      </w:r>
    </w:p>
    <w:p>
      <w:pPr>
        <w:pStyle w:val="Compact"/>
        <w:numPr>
          <w:ilvl w:val="0"/>
          <w:numId w:val="1001"/>
        </w:numPr>
      </w:pPr>
      <w:r>
        <w:t xml:space="preserve">Process island: DAC, HTSE, and methanol synthesis under no-grid-export</w:t>
      </w:r>
      <w:r>
        <w:t xml:space="preserve"> </w:t>
      </w:r>
      <w:r>
        <w:t xml:space="preserve">headline operation.</w:t>
      </w:r>
    </w:p>
    <w:p>
      <w:pPr>
        <w:pStyle w:val="FirstParagraph"/>
      </w:pPr>
      <w:r>
        <w:t xml:space="preserve">Thermal-cascade logic is retained: high-grade heat supports power</w:t>
      </w:r>
      <w:r>
        <w:t xml:space="preserve"> </w:t>
      </w:r>
      <w:r>
        <w:t xml:space="preserve">conversion, lower-grade heat supports process duty before final</w:t>
      </w:r>
      <w:r>
        <w:t xml:space="preserve"> </w:t>
      </w:r>
      <w:r>
        <w:t xml:space="preserve">rejection. This architecture converts what is typically treated as</w:t>
      </w:r>
      <w:r>
        <w:t xml:space="preserve"> </w:t>
      </w:r>
      <w:r>
        <w:t xml:space="preserve">low-value rejected heat into a productive CO2-reduction resource.</w:t>
      </w:r>
    </w:p>
    <w:bookmarkEnd w:id="57"/>
    <w:bookmarkStart w:id="65" w:name="Xd882f8ab9941309d112537bdcaaf396ea090435"/>
    <w:p>
      <w:pPr>
        <w:pStyle w:val="Heading1"/>
      </w:pPr>
      <w:r>
        <w:t xml:space="preserve">Section 4 - Modelling Development &amp; Methodology</w:t>
      </w:r>
    </w:p>
    <w:bookmarkStart w:id="58" w:name="Xa239cf1ec9c59d5597cf541f0ed5b8e718bf5b0"/>
    <w:p>
      <w:pPr>
        <w:pStyle w:val="Heading2"/>
      </w:pPr>
      <w:r>
        <w:t xml:space="preserve">4.1 Modelling Philosophy and Fidelity</w:t>
      </w:r>
    </w:p>
    <w:p>
      <w:pPr>
        <w:pStyle w:val="FirstParagraph"/>
      </w:pPr>
      <w:r>
        <w:t xml:space="preserve">The modelling approach prioritizes thermodynamic consistency across</w:t>
      </w:r>
      <w:r>
        <w:t xml:space="preserve"> </w:t>
      </w:r>
      <w:r>
        <w:t xml:space="preserve">subsystems rather than isolated subsystem optimization. Real-gas</w:t>
      </w:r>
      <w:r>
        <w:t xml:space="preserve"> </w:t>
      </w:r>
      <w:r>
        <w:t xml:space="preserve">properties are evaluated with CoolProp to capture near-critical CO2</w:t>
      </w:r>
      <w:r>
        <w:t xml:space="preserve"> </w:t>
      </w:r>
      <w:r>
        <w:t xml:space="preserve">behavior where constant-property or ideal-gas assumptions are not</w:t>
      </w:r>
      <w:r>
        <w:t xml:space="preserve"> </w:t>
      </w:r>
      <w:r>
        <w:t xml:space="preserve">reliable.</w:t>
      </w:r>
    </w:p>
    <w:bookmarkEnd w:id="58"/>
    <w:bookmarkStart w:id="59" w:name="X49640686adc2d6190f784949efa3230282097ec"/>
    <w:p>
      <w:pPr>
        <w:pStyle w:val="Heading2"/>
      </w:pPr>
      <w:r>
        <w:t xml:space="preserve">4.2 Coupled Solver and Feasibility Logic</w:t>
      </w:r>
    </w:p>
    <w:p>
      <w:pPr>
        <w:pStyle w:val="FirstParagraph"/>
      </w:pPr>
      <w:r>
        <w:t xml:space="preserve">The plant solve uses a coupled iterative structure with embedded</w:t>
      </w:r>
      <w:r>
        <w:t xml:space="preserve"> </w:t>
      </w:r>
      <w:r>
        <w:t xml:space="preserve">feasibility gates:</w:t>
      </w:r>
    </w:p>
    <w:p>
      <w:pPr>
        <w:pStyle w:val="Compact"/>
        <w:numPr>
          <w:ilvl w:val="0"/>
          <w:numId w:val="1002"/>
        </w:numPr>
      </w:pPr>
      <w:r>
        <w:t xml:space="preserve">deterministic bounded operating-point seed search over</w:t>
      </w:r>
      <w:r>
        <w:t xml:space="preserve"> </w:t>
      </w:r>
      <w:r>
        <w:rPr>
          <w:rStyle w:val="VerbatimChar"/>
        </w:rPr>
        <w:t xml:space="preserve">(P_high, P_low, f_recomp)</w:t>
      </w:r>
      <w:r>
        <w:t xml:space="preserve">,</w:t>
      </w:r>
    </w:p>
    <w:p>
      <w:pPr>
        <w:pStyle w:val="Compact"/>
        <w:numPr>
          <w:ilvl w:val="0"/>
          <w:numId w:val="1002"/>
        </w:numPr>
      </w:pPr>
      <w:r>
        <w:t xml:space="preserve">staged moderate tuning for infeasible starts,</w:t>
      </w:r>
    </w:p>
    <w:p>
      <w:pPr>
        <w:pStyle w:val="Compact"/>
        <w:numPr>
          <w:ilvl w:val="0"/>
          <w:numId w:val="1002"/>
        </w:numPr>
      </w:pPr>
      <w:r>
        <w:t xml:space="preserve">per-iteration diagnostics and convergence-reason tagging,</w:t>
      </w:r>
    </w:p>
    <w:p>
      <w:pPr>
        <w:pStyle w:val="Compact"/>
        <w:numPr>
          <w:ilvl w:val="0"/>
          <w:numId w:val="1002"/>
        </w:numPr>
      </w:pPr>
      <w:r>
        <w:t xml:space="preserve">fail-fast gating for headline infeasibility and canonical feasibility</w:t>
      </w:r>
      <w:r>
        <w:t xml:space="preserve"> </w:t>
      </w:r>
      <w:r>
        <w:t xml:space="preserve">enforcement.</w:t>
      </w:r>
    </w:p>
    <w:p>
      <w:pPr>
        <w:pStyle w:val="FirstParagraph"/>
      </w:pPr>
      <w:r>
        <w:t xml:space="preserve">Feasibility constraints are checked during solve progression, not only</w:t>
      </w:r>
      <w:r>
        <w:t xml:space="preserve"> </w:t>
      </w:r>
      <w:r>
        <w:t xml:space="preserve">as post-processing.</w:t>
      </w:r>
    </w:p>
    <w:bookmarkEnd w:id="59"/>
    <w:bookmarkStart w:id="64" w:name="Xdbf039d9ee7a17aeb96e6d4dd2457af8aaa7753"/>
    <w:p>
      <w:pPr>
        <w:pStyle w:val="Heading2"/>
      </w:pPr>
      <w:r>
        <w:t xml:space="preserve">4.3 CO</w:t>
      </w:r>
      <w:r>
        <w:t xml:space="preserve">2</w:t>
      </w:r>
      <w:r>
        <w:t xml:space="preserve"> </w:t>
      </w:r>
      <w:r>
        <w:t xml:space="preserve">Accounting Methodology</w:t>
      </w:r>
    </w:p>
    <w:p>
      <w:pPr>
        <w:pStyle w:val="FirstParagraph"/>
      </w:pPr>
      <w:r>
        <w:t xml:space="preserve">The net annual CO</w:t>
      </w:r>
      <w:r>
        <w:t xml:space="preserve">2</w:t>
      </w:r>
      <w:r>
        <w:t xml:space="preserve"> </w:t>
      </w:r>
      <w:r>
        <w:t xml:space="preserve">calculation compares annual emissions in</w:t>
      </w:r>
      <w:r>
        <w:t xml:space="preserve"> </w:t>
      </w:r>
      <w:r>
        <w:t xml:space="preserve">the baseline scenario to those in the project scenario, using explicit</w:t>
      </w:r>
      <w:r>
        <w:t xml:space="preserve"> </w:t>
      </w:r>
      <w:r>
        <w:t xml:space="preserve">boundary labels to avoid ambiguity between accounting modes. To preserve</w:t>
      </w:r>
      <w:r>
        <w:t xml:space="preserve"> </w:t>
      </w:r>
      <w:r>
        <w:t xml:space="preserve">continuity with the legacy team draft, the original baseline/project/net</w:t>
      </w:r>
      <w:r>
        <w:t xml:space="preserve"> </w:t>
      </w:r>
      <w:r>
        <w:t xml:space="preserve">equation chain is retained in Appendix 4.3 as sensitivity/comparator</w:t>
      </w:r>
      <w:r>
        <w:t xml:space="preserve"> </w:t>
      </w:r>
      <w:r>
        <w:t xml:space="preserve">context.</w:t>
      </w:r>
    </w:p>
    <w:bookmarkStart w:id="60" w:name="Xa4e74ee530a92b8e1293af88bd0a0e0533b2366"/>
    <w:p>
      <w:pPr>
        <w:pStyle w:val="Heading4"/>
      </w:pPr>
      <w:r>
        <w:rPr>
          <w:b/>
          <w:bCs/>
        </w:rPr>
        <w:t xml:space="preserve">4.3.1 Baseline Scenario</w:t>
      </w:r>
    </w:p>
    <w:p>
      <w:pPr>
        <w:pStyle w:val="FirstParagraph"/>
      </w:pPr>
      <w:r>
        <w:t xml:space="preserve">Two accounting boundaries are retained in the project, but only one is</w:t>
      </w:r>
      <w:r>
        <w:t xml:space="preserve"> </w:t>
      </w:r>
      <w:r>
        <w:t xml:space="preserve">used for headline claims in the main body: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fuel_displacement</w:t>
      </w:r>
      <w:r>
        <w:t xml:space="preserve"> </w:t>
      </w:r>
      <w:r>
        <w:t xml:space="preserve">(headline): includes displaced fossil-fuel</w:t>
      </w:r>
      <w:r>
        <w:t xml:space="preserve"> </w:t>
      </w:r>
      <w:r>
        <w:t xml:space="preserve">comparator assumptions.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operational_only</w:t>
      </w:r>
      <w:r>
        <w:t xml:space="preserve"> </w:t>
      </w:r>
      <w:r>
        <w:t xml:space="preserve">(sensitivity): net reduction from modeled plant</w:t>
      </w:r>
      <w:r>
        <w:t xml:space="preserve"> </w:t>
      </w:r>
      <w:r>
        <w:t xml:space="preserve">operation and on-site process allocation.</w:t>
      </w:r>
    </w:p>
    <w:bookmarkEnd w:id="60"/>
    <w:bookmarkStart w:id="61" w:name="Xd995c3f25a7c60cd9514ea1944104fcd3b74862"/>
    <w:p>
      <w:pPr>
        <w:pStyle w:val="Heading4"/>
      </w:pPr>
      <w:r>
        <w:rPr>
          <w:b/>
          <w:bCs/>
        </w:rPr>
        <w:t xml:space="preserve">4.3.2 Project Scenario</w:t>
      </w:r>
    </w:p>
    <w:p>
      <w:pPr>
        <w:pStyle w:val="FirstParagraph"/>
      </w:pPr>
      <w:r>
        <w:t xml:space="preserve">Main-text equation (headline boundary):</w:t>
      </w:r>
    </w:p>
    <w:p>
      <w:pPr>
        <w:pStyle w:val="BodyText"/>
      </w:pPr>
      <w:r>
        <w:rPr>
          <w:rStyle w:val="VerbatimChar"/>
        </w:rPr>
        <w:t xml:space="preserve">Net_CO2_fuel_displacement = CO2_displaced_fossil + CO2_grid - CO2_embodied - (CO2_reemitted_synthetic if neutrality disabled)</w:t>
      </w:r>
    </w:p>
    <w:p>
      <w:pPr>
        <w:pStyle w:val="BodyText"/>
      </w:pPr>
      <w:r>
        <w:t xml:space="preserve">For the locked headline case, grid export is zero by design and</w:t>
      </w:r>
      <w:r>
        <w:t xml:space="preserve"> </w:t>
      </w:r>
      <w:r>
        <w:t xml:space="preserve">neutrality is enabled in the accounting settings, so:</w:t>
      </w:r>
    </w:p>
    <w:p>
      <w:pPr>
        <w:pStyle w:val="BodyText"/>
      </w:pPr>
      <w:r>
        <w:rPr>
          <w:rStyle w:val="VerbatimChar"/>
        </w:rPr>
        <w:t xml:space="preserve">Net_CO2_fuel_displacement = CO2_displaced_fossil - CO2_embodied = 9,898 tCO2/year</w:t>
      </w:r>
    </w:p>
    <w:bookmarkEnd w:id="61"/>
    <w:bookmarkStart w:id="62" w:name="X9bae2d17c4a43becd5d91cc692d6e98d009830c"/>
    <w:p>
      <w:pPr>
        <w:pStyle w:val="Heading4"/>
      </w:pPr>
      <w:r>
        <w:rPr>
          <w:b/>
          <w:bCs/>
        </w:rPr>
        <w:t xml:space="preserve">4.3.3 Net CO</w:t>
      </w:r>
      <w:r>
        <w:rPr>
          <w:b/>
          <w:bCs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Reduction</w:t>
      </w:r>
    </w:p>
    <w:p>
      <w:pPr>
        <w:pStyle w:val="FirstParagraph"/>
      </w:pPr>
      <w:r>
        <w:t xml:space="preserve">Sensitivity equation (reported in Section 6.3 only):</w:t>
      </w:r>
    </w:p>
    <w:p>
      <w:pPr>
        <w:pStyle w:val="BodyText"/>
      </w:pPr>
      <w:r>
        <w:rPr>
          <w:rStyle w:val="VerbatimChar"/>
        </w:rPr>
        <w:t xml:space="preserve">Net_CO2_operational_only = CO2_DAC + CO2_grid</w:t>
      </w:r>
    </w:p>
    <w:p>
      <w:pPr>
        <w:pStyle w:val="BodyText"/>
      </w:pPr>
      <w:r>
        <w:t xml:space="preserve">This mode is retained for sensitivity context and is not used as the</w:t>
      </w:r>
      <w:r>
        <w:t xml:space="preserve"> </w:t>
      </w:r>
      <w:r>
        <w:t xml:space="preserve">headline figure in the main report body.</w:t>
      </w:r>
    </w:p>
    <w:bookmarkEnd w:id="62"/>
    <w:bookmarkStart w:id="63" w:name="Xa0ec19ec437bace4f37667fb72e7d0f9e39fb22"/>
    <w:p>
      <w:pPr>
        <w:pStyle w:val="Heading4"/>
      </w:pPr>
      <w:r>
        <w:rPr>
          <w:b/>
          <w:bCs/>
        </w:rPr>
        <w:t xml:space="preserve">4.3.4 Key assumptions</w:t>
      </w:r>
    </w:p>
    <w:p>
      <w:pPr>
        <w:pStyle w:val="Compact"/>
        <w:numPr>
          <w:ilvl w:val="0"/>
          <w:numId w:val="1004"/>
        </w:numPr>
      </w:pPr>
      <w:r>
        <w:t xml:space="preserve">The main-body headline is always</w:t>
      </w:r>
      <w:r>
        <w:t xml:space="preserve"> </w:t>
      </w:r>
      <w:r>
        <w:rPr>
          <w:rStyle w:val="VerbatimChar"/>
        </w:rPr>
        <w:t xml:space="preserve">fuel_displacement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operational_only</w:t>
      </w:r>
      <w:r>
        <w:t xml:space="preserve"> </w:t>
      </w:r>
      <w:r>
        <w:t xml:space="preserve">basis is shown only as sensitivity.</w:t>
      </w:r>
    </w:p>
    <w:p>
      <w:pPr>
        <w:pStyle w:val="Compact"/>
        <w:numPr>
          <w:ilvl w:val="0"/>
          <w:numId w:val="1004"/>
        </w:numPr>
      </w:pPr>
      <w:r>
        <w:t xml:space="preserve">kgCO2 and kgCO2e are treated as equivalent in this engineering-stage</w:t>
      </w:r>
      <w:r>
        <w:t xml:space="preserve"> </w:t>
      </w:r>
      <w:r>
        <w:t xml:space="preserve">accounting pass.</w:t>
      </w:r>
    </w:p>
    <w:p>
      <w:pPr>
        <w:pStyle w:val="Compact"/>
        <w:numPr>
          <w:ilvl w:val="0"/>
          <w:numId w:val="1004"/>
        </w:numPr>
      </w:pPr>
      <w:r>
        <w:t xml:space="preserve">No-grid-export policy is applied in the headline scenario.</w:t>
      </w:r>
    </w:p>
    <w:bookmarkEnd w:id="63"/>
    <w:bookmarkEnd w:id="64"/>
    <w:bookmarkEnd w:id="65"/>
    <w:bookmarkStart w:id="69" w:name="section-5---verification-and-validation"/>
    <w:p>
      <w:pPr>
        <w:pStyle w:val="Heading1"/>
      </w:pPr>
      <w:r>
        <w:t xml:space="preserve">Section 5 - Verification and Validation</w:t>
      </w:r>
    </w:p>
    <w:bookmarkStart w:id="66" w:name="X75768ee46a99fe48252113a09df796c6abdac49"/>
    <w:p>
      <w:pPr>
        <w:pStyle w:val="Heading2"/>
      </w:pPr>
      <w:r>
        <w:t xml:space="preserve">5.1 Verification</w:t>
      </w:r>
    </w:p>
    <w:p>
      <w:pPr>
        <w:pStyle w:val="FirstParagraph"/>
      </w:pPr>
      <w:r>
        <w:t xml:space="preserve">Verification focused on implementation correctness and control-flow</w:t>
      </w:r>
      <w:r>
        <w:t xml:space="preserve"> </w:t>
      </w:r>
      <w:r>
        <w:t xml:space="preserve">integrity:</w:t>
      </w:r>
    </w:p>
    <w:p>
      <w:pPr>
        <w:pStyle w:val="Compact"/>
        <w:numPr>
          <w:ilvl w:val="0"/>
          <w:numId w:val="1005"/>
        </w:numPr>
      </w:pPr>
      <w:r>
        <w:t xml:space="preserve">deterministic operating-point search behavior and repeatability,</w:t>
      </w:r>
    </w:p>
    <w:p>
      <w:pPr>
        <w:pStyle w:val="Compact"/>
        <w:numPr>
          <w:ilvl w:val="0"/>
          <w:numId w:val="1005"/>
        </w:numPr>
      </w:pPr>
      <w:r>
        <w:t xml:space="preserve">feasibility-recovery range guards and metadata persistence,</w:t>
      </w:r>
    </w:p>
    <w:p>
      <w:pPr>
        <w:pStyle w:val="Compact"/>
        <w:numPr>
          <w:ilvl w:val="0"/>
          <w:numId w:val="1005"/>
        </w:numPr>
      </w:pPr>
      <w:r>
        <w:t xml:space="preserve">fail-fast and override pathway control logic,</w:t>
      </w:r>
    </w:p>
    <w:p>
      <w:pPr>
        <w:pStyle w:val="Compact"/>
        <w:numPr>
          <w:ilvl w:val="0"/>
          <w:numId w:val="1005"/>
        </w:numPr>
      </w:pPr>
      <w:r>
        <w:t xml:space="preserve">JSON-serializable diagnostics for trace artifacts.</w:t>
      </w:r>
    </w:p>
    <w:p>
      <w:pPr>
        <w:pStyle w:val="FirstParagraph"/>
      </w:pPr>
      <w:r>
        <w:t xml:space="preserve">These checks were executed through unit-level and integration-level</w:t>
      </w:r>
      <w:r>
        <w:t xml:space="preserve"> </w:t>
      </w:r>
      <w:r>
        <w:t xml:space="preserve">tests in the branch workflow.</w:t>
      </w:r>
    </w:p>
    <w:bookmarkEnd w:id="66"/>
    <w:bookmarkStart w:id="67" w:name="Xf6468ce8ea0ee856dd961bb2688a8fcc8eb19b2"/>
    <w:p>
      <w:pPr>
        <w:pStyle w:val="Heading2"/>
      </w:pPr>
      <w:r>
        <w:t xml:space="preserve">5.2 Validation Against Reference Case</w:t>
      </w:r>
    </w:p>
    <w:p>
      <w:pPr>
        <w:pStyle w:val="FirstParagraph"/>
      </w:pPr>
      <w:r>
        <w:t xml:space="preserve">The cycle reference validation remains the Dostal-style benchmark case.</w:t>
      </w:r>
      <w:r>
        <w:t xml:space="preserve"> </w:t>
      </w:r>
      <w:r>
        <w:t xml:space="preserve">The committed authoritative run reports 41.07% thermal efficiency</w:t>
      </w:r>
      <w:r>
        <w:t xml:space="preserve"> </w:t>
      </w:r>
      <w:r>
        <w:t xml:space="preserve">against a 45.0% +/- 5.0% acceptance band, and the validation gate</w:t>
      </w:r>
      <w:r>
        <w:t xml:space="preserve"> </w:t>
      </w:r>
      <w:r>
        <w:t xml:space="preserve">passes.</w:t>
      </w:r>
    </w:p>
    <w:bookmarkEnd w:id="67"/>
    <w:bookmarkStart w:id="68" w:name="X00e34bde90088e8312efab49db4414fc642e105"/>
    <w:p>
      <w:pPr>
        <w:pStyle w:val="Heading2"/>
      </w:pPr>
      <w:r>
        <w:t xml:space="preserve">5.3 Feasibility Evidence</w:t>
      </w:r>
    </w:p>
    <w:p>
      <w:pPr>
        <w:pStyle w:val="FirstParagraph"/>
      </w:pPr>
      <w:r>
        <w:t xml:space="preserve">The final authoritative run demonstrates:</w:t>
      </w:r>
    </w:p>
    <w:p>
      <w:pPr>
        <w:pStyle w:val="Compact"/>
        <w:numPr>
          <w:ilvl w:val="0"/>
          <w:numId w:val="1006"/>
        </w:numPr>
      </w:pPr>
      <w:r>
        <w:t xml:space="preserve">headline baseline (</w:t>
      </w:r>
      <w:r>
        <w:rPr>
          <w:rStyle w:val="VerbatimChar"/>
        </w:rPr>
        <w:t xml:space="preserve">S2_30MW_FUELDISP</w:t>
      </w:r>
      <w:r>
        <w:t xml:space="preserve">) converged and feasible,</w:t>
      </w:r>
    </w:p>
    <w:p>
      <w:pPr>
        <w:pStyle w:val="Compact"/>
        <w:numPr>
          <w:ilvl w:val="0"/>
          <w:numId w:val="1006"/>
        </w:numPr>
      </w:pPr>
      <w:r>
        <w:t xml:space="preserve">plant energy closure within tolerance,</w:t>
      </w:r>
    </w:p>
    <w:p>
      <w:pPr>
        <w:pStyle w:val="Compact"/>
        <w:numPr>
          <w:ilvl w:val="0"/>
          <w:numId w:val="1006"/>
        </w:numPr>
      </w:pPr>
      <w:r>
        <w:t xml:space="preserve">all canonical scenarios S0-S3 converged and feasible under required</w:t>
      </w:r>
      <w:r>
        <w:t xml:space="preserve"> </w:t>
      </w:r>
      <w:r>
        <w:t xml:space="preserve">gating.</w:t>
      </w:r>
    </w:p>
    <w:p>
      <w:pPr>
        <w:pStyle w:val="FirstParagraph"/>
      </w:pPr>
      <w:r>
        <w:t xml:space="preserve">This provides a branch-reproducible feasibility basis for the results in</w:t>
      </w:r>
      <w:r>
        <w:t xml:space="preserve"> </w:t>
      </w:r>
      <w:r>
        <w:t xml:space="preserve">Section 6.</w:t>
      </w:r>
    </w:p>
    <w:bookmarkEnd w:id="68"/>
    <w:bookmarkEnd w:id="69"/>
    <w:bookmarkStart w:id="73" w:name="section-6---results--figures-of-merit"/>
    <w:p>
      <w:pPr>
        <w:pStyle w:val="Heading1"/>
      </w:pPr>
      <w:r>
        <w:t xml:space="preserve">Section 6 - Results &amp; Figures of Merit</w:t>
      </w:r>
    </w:p>
    <w:bookmarkStart w:id="70" w:name="X0264da798b95a222f82e4ac1324a1983903a688"/>
    <w:p>
      <w:pPr>
        <w:pStyle w:val="Heading2"/>
      </w:pPr>
      <w:r>
        <w:t xml:space="preserve">6.1 Plant Performance Summary</w:t>
      </w:r>
    </w:p>
    <w:p>
      <w:pPr>
        <w:pStyle w:val="FirstParagraph"/>
      </w:pPr>
      <w:r>
        <w:t xml:space="preserve">The headline performance case is the locked baseline</w:t>
      </w:r>
      <w:r>
        <w:t xml:space="preserve"> </w:t>
      </w:r>
      <w:r>
        <w:rPr>
          <w:rStyle w:val="VerbatimChar"/>
        </w:rPr>
        <w:t xml:space="preserve">S2_30MW_FUELDISP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fuel_displacement</w:t>
      </w:r>
      <w:r>
        <w:t xml:space="preserve"> </w:t>
      </w:r>
      <w:r>
        <w:t xml:space="preserve">accounting. The integrated</w:t>
      </w:r>
      <w:r>
        <w:t xml:space="preserve"> </w:t>
      </w:r>
      <w:r>
        <w:t xml:space="preserve">configuration is feasible and converged under the final authoritative</w:t>
      </w:r>
      <w:r>
        <w:t xml:space="preserve"> </w:t>
      </w:r>
      <w:r>
        <w:t xml:space="preserve">run.</w:t>
      </w:r>
    </w:p>
    <w:p>
      <w:pPr>
        <w:pStyle w:val="BodyText"/>
      </w:pPr>
      <w:r>
        <w:t xml:space="preserve">Table 6.1 — Integrated Plant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Reactor thermal 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 MWth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electrical 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9.939 MWe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 efficiency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efficiency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 energy closure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 mass 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165.9 kg/s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Compressor inlet temperature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Turbine inlet temperature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517.7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HTR pinch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+1.66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IHX pinch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+13.00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LTR pinch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+2.82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Helium return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+10.74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Feasible / Converged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True / True</w:t>
            </w:r>
          </w:p>
        </w:tc>
      </w:tr>
    </w:tbl>
    <w:p>
      <w:pPr>
        <w:pStyle w:val="BodyText"/>
      </w:pPr>
      <w:r>
        <w:t xml:space="preserve">All electrical output remains on-site in headline mode, with no grid</w:t>
      </w:r>
      <w:r>
        <w:t xml:space="preserve"> </w:t>
      </w:r>
      <w:r>
        <w:t xml:space="preserve">export.</w:t>
      </w:r>
    </w:p>
    <w:bookmarkEnd w:id="70"/>
    <w:bookmarkStart w:id="71" w:name="Xcf980ca2692a90205c76f3eb6c779be66837186"/>
    <w:p>
      <w:pPr>
        <w:pStyle w:val="Heading2"/>
      </w:pPr>
      <w:r>
        <w:t xml:space="preserve">6.2 Primary Figure of Merit</w:t>
      </w:r>
    </w:p>
    <w:p>
      <w:pPr>
        <w:pStyle w:val="FirstParagraph"/>
      </w:pPr>
      <w:r>
        <w:t xml:space="preserve">Table 6.2 – Primary Figure of Merit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CO2 reduction (fuel_displacement)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9,898 tCO2/year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FoM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329.9 tCO2/MWth/year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DAC capture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44,468 tCO2/year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Hydrogen production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627.3 t/year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Methanol production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3245.3 t/year</w:t>
            </w:r>
          </w:p>
        </w:tc>
      </w:tr>
    </w:tbl>
    <w:p>
      <w:pPr>
        <w:pStyle w:val="BodyText"/>
      </w:pPr>
      <w:r>
        <w:t xml:space="preserve">The dominant sensitivity drivers include electrolyser efficiency</w:t>
      </w:r>
      <w:r>
        <w:t xml:space="preserve"> </w:t>
      </w:r>
      <w:r>
        <w:t xml:space="preserve">(electricity demand per unit hydrogen), DAC parasitic load (energy</w:t>
      </w:r>
      <w:r>
        <w:t xml:space="preserve"> </w:t>
      </w:r>
      <w:r>
        <w:t xml:space="preserve">required for CO</w:t>
      </w:r>
      <w:r>
        <w:t xml:space="preserve">2</w:t>
      </w:r>
      <w:r>
        <w:t xml:space="preserve"> </w:t>
      </w:r>
      <w:r>
        <w:t xml:space="preserve">capture), and overall cycle efficiency</w:t>
      </w:r>
      <w:r>
        <w:t xml:space="preserve"> </w:t>
      </w:r>
      <w:r>
        <w:t xml:space="preserve">(heat-to-electric conversion performance). These parameters directly</w:t>
      </w:r>
      <w:r>
        <w:t xml:space="preserve"> </w:t>
      </w:r>
      <w:r>
        <w:t xml:space="preserve">affect total energy demand and, therefore, the calculated CO</w:t>
      </w:r>
      <w:r>
        <w:t xml:space="preserve">2</w:t>
      </w:r>
      <w:r>
        <w:t xml:space="preserve"> </w:t>
      </w:r>
      <w:r>
        <w:t xml:space="preserve">reduction and FOM.</w:t>
      </w:r>
    </w:p>
    <w:p>
      <w:pPr>
        <w:pStyle w:val="BodyText"/>
      </w:pPr>
      <w:r>
        <w:t xml:space="preserve">Uncertainty context from the committed canonical UQ artifact (120</w:t>
      </w:r>
      <w:r>
        <w:t xml:space="preserve"> </w:t>
      </w:r>
      <w:r>
        <w:t xml:space="preserve">samples): FoM mean 331.6 tCO2/MWth/year, p10/p50/p90 of 302.7 / 331.5 /</w:t>
      </w:r>
      <w:r>
        <w:t xml:space="preserve"> </w:t>
      </w:r>
      <w:r>
        <w:t xml:space="preserve">360.8, and a 95% interval of 288.6 to 377.9 tCO2/MWth/year.</w:t>
      </w:r>
    </w:p>
    <w:bookmarkEnd w:id="71"/>
    <w:bookmarkStart w:id="72" w:name="X62fa9c52048442fc64c8eb4ca54ada70ccc330d"/>
    <w:p>
      <w:pPr>
        <w:pStyle w:val="Heading2"/>
      </w:pPr>
      <w:r>
        <w:t xml:space="preserve">6.3 Secondary Figures of Merit</w:t>
      </w:r>
    </w:p>
    <w:p>
      <w:pPr>
        <w:pStyle w:val="FirstParagraph"/>
      </w:pPr>
      <w:r>
        <w:t xml:space="preserve">Canonical sensitivity summary (all feasible and converged):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Net power (MWe)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FoM (tCO2/MWth/year)</w:t>
            </w:r>
          </w:p>
        </w:tc>
        <w:tc>
          <w:tcPr/>
          <w:p>
            <w:pPr>
              <w:pStyle w:val="Compact"/>
            </w:pPr>
            <w:r>
              <w:t xml:space="preserve">Feasible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S0_BASE_30MW_OPONLY</w:t>
            </w:r>
          </w:p>
        </w:tc>
        <w:tc>
          <w:tcPr/>
          <w:p>
            <w:pPr>
              <w:pStyle w:val="Compact"/>
            </w:pPr>
            <w:r>
              <w:t xml:space="preserve">30 MWth, operational_only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1482.3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S1_36MW_OPONLY</w:t>
            </w:r>
          </w:p>
        </w:tc>
        <w:tc>
          <w:tcPr/>
          <w:p>
            <w:pPr>
              <w:pStyle w:val="Compact"/>
            </w:pPr>
            <w:r>
              <w:t xml:space="preserve">36 MWth, operational_only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1471.9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S2_30MW_FUELDISP</w:t>
            </w:r>
          </w:p>
        </w:tc>
        <w:tc>
          <w:tcPr/>
          <w:p>
            <w:pPr>
              <w:pStyle w:val="Compact"/>
            </w:pPr>
            <w:r>
              <w:t xml:space="preserve">30 MWth, fuel_displacement (headline)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329.9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S3_36MW_FUELDISP</w:t>
            </w:r>
          </w:p>
        </w:tc>
        <w:tc>
          <w:tcPr/>
          <w:p>
            <w:pPr>
              <w:pStyle w:val="Compact"/>
            </w:pPr>
            <w:r>
              <w:t xml:space="preserve">36 MWth, fuel_displacement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334.7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Secondary conclusions:</w:t>
      </w:r>
    </w:p>
    <w:p>
      <w:pPr>
        <w:pStyle w:val="Compact"/>
        <w:numPr>
          <w:ilvl w:val="0"/>
          <w:numId w:val="1007"/>
        </w:numPr>
      </w:pPr>
      <w:r>
        <w:t xml:space="preserve">Feasibility is maintained across all four canonical scenarios.</w:t>
      </w:r>
    </w:p>
    <w:p>
      <w:pPr>
        <w:pStyle w:val="Compact"/>
        <w:numPr>
          <w:ilvl w:val="0"/>
          <w:numId w:val="1007"/>
        </w:numPr>
      </w:pPr>
      <w:r>
        <w:t xml:space="preserve">36 MWth results are retained as sensitivity context only.</w:t>
      </w:r>
    </w:p>
    <w:p>
      <w:pPr>
        <w:pStyle w:val="Compact"/>
        <w:numPr>
          <w:ilvl w:val="0"/>
          <w:numId w:val="1007"/>
        </w:numPr>
      </w:pPr>
      <w:r>
        <w:t xml:space="preserve">Operational-only values are sensitivity-only and not used as headline</w:t>
      </w:r>
      <w:r>
        <w:t xml:space="preserve"> </w:t>
      </w:r>
      <w:r>
        <w:t xml:space="preserve">claims in the main report.</w:t>
      </w:r>
    </w:p>
    <w:bookmarkEnd w:id="72"/>
    <w:bookmarkEnd w:id="73"/>
    <w:bookmarkStart w:id="81" w:name="section-7---safety-philosophy"/>
    <w:p>
      <w:pPr>
        <w:pStyle w:val="Heading1"/>
      </w:pPr>
      <w:r>
        <w:t xml:space="preserve">Section 7 - Safety Philosophy</w:t>
      </w:r>
    </w:p>
    <w:p>
      <w:pPr>
        <w:pStyle w:val="FirstParagraph"/>
      </w:pPr>
      <w:r>
        <w:t xml:space="preserve">Safety is integral to our HTGR design. The architecture follows the IAEA</w:t>
      </w:r>
      <w:r>
        <w:t xml:space="preserve"> </w:t>
      </w:r>
      <w:r>
        <w:t xml:space="preserve">Defence-in-Depth framework and relies on inherent reactor physics,</w:t>
      </w:r>
      <w:r>
        <w:t xml:space="preserve"> </w:t>
      </w:r>
      <w:r>
        <w:t xml:space="preserve">robust fuel containment, and passive cooling. Quantitative transient</w:t>
      </w:r>
      <w:r>
        <w:t xml:space="preserve"> </w:t>
      </w:r>
      <w:r>
        <w:t xml:space="preserve">values in Section 7.4 are explicitly provenance-labeled to distinguish</w:t>
      </w:r>
      <w:r>
        <w:t xml:space="preserve"> </w:t>
      </w:r>
      <w:r>
        <w:t xml:space="preserve">branch-reproduced outputs from external-workstream evidence.</w:t>
      </w:r>
    </w:p>
    <w:bookmarkStart w:id="74" w:name="Xa6c1b6a4f0c96e431fdded7799dc628652d0877"/>
    <w:p>
      <w:pPr>
        <w:pStyle w:val="Heading2"/>
      </w:pPr>
      <w:r>
        <w:t xml:space="preserve">7.1 Defence-in-Depth Framework</w:t>
      </w:r>
    </w:p>
    <w:p>
      <w:pPr>
        <w:pStyle w:val="FirstParagraph"/>
      </w:pPr>
      <w:r>
        <w:t xml:space="preserve">The safety philosophy is structured around IAEA INSAG-10</w:t>
      </w:r>
      <w:r>
        <w:t xml:space="preserve"> </w:t>
      </w:r>
      <w:r>
        <w:t xml:space="preserve">Defence-in-Depth, comprising five independent levels:</w:t>
      </w:r>
      <w:r>
        <w:t xml:space="preserve"> </w:t>
      </w:r>
      <w:r>
        <w:rPr>
          <w:b/>
          <w:bCs/>
        </w:rPr>
        <w:t xml:space="preserve">(1) Prevention</w:t>
      </w:r>
      <w:r>
        <w:t xml:space="preserve"> </w:t>
      </w:r>
      <w:r>
        <w:t xml:space="preserve">through conservative design margins;</w:t>
      </w:r>
      <w:r>
        <w:t xml:space="preserve"> </w:t>
      </w:r>
      <w:r>
        <w:rPr>
          <w:b/>
          <w:bCs/>
        </w:rPr>
        <w:t xml:space="preserve">(2) Detection and Control</w:t>
      </w:r>
      <w:r>
        <w:t xml:space="preserve"> </w:t>
      </w:r>
      <w:r>
        <w:t xml:space="preserve">via</w:t>
      </w:r>
      <w:r>
        <w:t xml:space="preserve"> </w:t>
      </w:r>
      <w:r>
        <w:t xml:space="preserve">instrumentation, negative temperature feedback, and control rod systems;</w:t>
      </w:r>
      <w:r>
        <w:t xml:space="preserve"> </w:t>
      </w:r>
      <w:r>
        <w:rPr>
          <w:b/>
          <w:bCs/>
        </w:rPr>
        <w:t xml:space="preserve">(3) Engineered Safety Systems</w:t>
      </w:r>
      <w:r>
        <w:t xml:space="preserve"> </w:t>
      </w:r>
      <w:r>
        <w:t xml:space="preserve">including TRISO fuel barriers and the</w:t>
      </w:r>
      <w:r>
        <w:t xml:space="preserve"> </w:t>
      </w:r>
      <w:r>
        <w:t xml:space="preserve">passive RCCS;</w:t>
      </w:r>
      <w:r>
        <w:t xml:space="preserve"> </w:t>
      </w:r>
      <w:r>
        <w:rPr>
          <w:b/>
          <w:bCs/>
        </w:rPr>
        <w:t xml:space="preserve">(4) Accident Management</w:t>
      </w:r>
      <w:r>
        <w:t xml:space="preserve"> </w:t>
      </w:r>
      <w:r>
        <w:t xml:space="preserve">through RPV integrity and</w:t>
      </w:r>
      <w:r>
        <w:t xml:space="preserve"> </w:t>
      </w:r>
      <w:r>
        <w:t xml:space="preserve">long-term passive heat removal;</w:t>
      </w:r>
      <w:r>
        <w:t xml:space="preserve"> </w:t>
      </w:r>
      <w:r>
        <w:rPr>
          <w:b/>
          <w:bCs/>
        </w:rPr>
        <w:t xml:space="preserve">(5) Emergency Response</w:t>
      </w:r>
      <w:r>
        <w:t xml:space="preserve"> </w:t>
      </w:r>
      <w:r>
        <w:t xml:space="preserve">which can be</w:t>
      </w:r>
      <w:r>
        <w:t xml:space="preserve"> </w:t>
      </w:r>
      <w:r>
        <w:t xml:space="preserve">minimal for HTGRs, with reduced Emergency Planning Zones justified by</w:t>
      </w:r>
      <w:r>
        <w:t xml:space="preserve"> </w:t>
      </w:r>
      <w:r>
        <w:t xml:space="preserve">the preceding layers’ effectiveness. Multiple barriers must fail</w:t>
      </w:r>
      <w:r>
        <w:t xml:space="preserve"> </w:t>
      </w:r>
      <w:r>
        <w:t xml:space="preserve">simultaneously before any release occurs.</w:t>
      </w:r>
    </w:p>
    <w:bookmarkEnd w:id="74"/>
    <w:bookmarkStart w:id="75" w:name="X894283af2eb1459219ebe83c891b25dd271ee70"/>
    <w:p>
      <w:pPr>
        <w:pStyle w:val="Heading2"/>
      </w:pPr>
      <w:r>
        <w:t xml:space="preserve">7.2 Inherent Safety Characteristics</w:t>
      </w:r>
    </w:p>
    <w:p>
      <w:pPr>
        <w:pStyle w:val="FirstParagraph"/>
      </w:pPr>
      <w:r>
        <w:t xml:space="preserve">Two physics-based mechanisms exist as the core of the safety case. A</w:t>
      </w:r>
      <w:r>
        <w:t xml:space="preserve"> </w:t>
      </w:r>
      <w:r>
        <w:rPr>
          <w:b/>
          <w:bCs/>
        </w:rPr>
        <w:t xml:space="preserve">strongly negative temperature coefficient of reactivity</w:t>
      </w:r>
      <w:r>
        <w:t xml:space="preserve"> </w:t>
      </w:r>
      <w:r>
        <w:t xml:space="preserve">(-3.5%</w:t>
      </w:r>
      <w:r>
        <w:t xml:space="preserve"> </w:t>
      </w:r>
      <w:r>
        <w:t xml:space="preserve">mk·K</w:t>
      </w:r>
      <w:r>
        <w:t xml:space="preserve">-1</w:t>
      </w:r>
      <w:r>
        <w:t xml:space="preserve">) ensures that rising fuel temperatures suppress</w:t>
      </w:r>
      <w:r>
        <w:t xml:space="preserve"> </w:t>
      </w:r>
      <w:r>
        <w:t xml:space="preserve">fission power without any operator action, via Doppler broadening of</w:t>
      </w:r>
      <w:r>
        <w:t xml:space="preserve"> </w:t>
      </w:r>
      <w:r>
        <w:t xml:space="preserve">U-238 absorption cross-sections. The</w:t>
      </w:r>
      <w:r>
        <w:t xml:space="preserve"> </w:t>
      </w:r>
      <w:r>
        <w:rPr>
          <w:b/>
          <w:bCs/>
        </w:rPr>
        <w:t xml:space="preserve">graphite core’s large thermal</w:t>
      </w:r>
      <w:r>
        <w:rPr>
          <w:b/>
          <w:bCs/>
        </w:rPr>
        <w:t xml:space="preserve"> </w:t>
      </w:r>
      <w:r>
        <w:rPr>
          <w:b/>
          <w:bCs/>
        </w:rPr>
        <w:t xml:space="preserve">inertia</w:t>
      </w:r>
      <w:r>
        <w:t xml:space="preserve"> </w:t>
      </w:r>
      <w:r>
        <w:t xml:space="preserve">(~55 tonnes, ~720 J·kg</w:t>
      </w:r>
      <w:r>
        <w:t xml:space="preserve">-1</w:t>
      </w:r>
      <w:r>
        <w:t xml:space="preserve">·K</w:t>
      </w:r>
      <w:r>
        <w:t xml:space="preserve">-1</w:t>
      </w:r>
      <w:r>
        <w:t xml:space="preserve">) causes</w:t>
      </w:r>
      <w:r>
        <w:t xml:space="preserve"> </w:t>
      </w:r>
      <w:r>
        <w:t xml:space="preserve">transients to evolve over days. Both were experimentally confirmed</w:t>
      </w:r>
      <w:r>
        <w:t xml:space="preserve"> </w:t>
      </w:r>
      <w:r>
        <w:t xml:space="preserve">during JAEA’s HTTR LOFC demonstrations.</w:t>
      </w:r>
    </w:p>
    <w:bookmarkEnd w:id="75"/>
    <w:bookmarkStart w:id="76" w:name="X1eff24412fae797b0433527dc4f46ed5a7ff4f0"/>
    <w:p>
      <w:pPr>
        <w:pStyle w:val="Heading2"/>
      </w:pPr>
      <w:r>
        <w:t xml:space="preserve">7.3 TRISO Fuel and Passive Cooling</w:t>
      </w:r>
    </w:p>
    <w:p>
      <w:pPr>
        <w:pStyle w:val="FirstParagraph"/>
      </w:pPr>
      <w:r>
        <w:t xml:space="preserve">TRISO fuel particles provide four independent barriers to fission</w:t>
      </w:r>
      <w:r>
        <w:t xml:space="preserve"> </w:t>
      </w:r>
      <w:r>
        <w:t xml:space="preserve">product release: porous carbon buffer, inner PyC, SiC, and outer PyC</w:t>
      </w:r>
      <w:r>
        <w:t xml:space="preserve"> </w:t>
      </w:r>
      <w:r>
        <w:t xml:space="preserve">layers. The SiC coating retains fission products up to the 1,600°C</w:t>
      </w:r>
      <w:r>
        <w:t xml:space="preserve"> </w:t>
      </w:r>
      <w:r>
        <w:t xml:space="preserve">design limit, verified by the German AVR, US AGR, and Chinese HTR-PM</w:t>
      </w:r>
      <w:r>
        <w:t xml:space="preserve"> </w:t>
      </w:r>
      <w:r>
        <w:t xml:space="preserve">irradiation programmes. Decay heat is removed by a passive RCCS:</w:t>
      </w:r>
      <w:r>
        <w:t xml:space="preserve"> </w:t>
      </w:r>
      <w:r>
        <w:t xml:space="preserve">natural-convection air cooling around the RPV requiring no pumps,</w:t>
      </w:r>
      <w:r>
        <w:t xml:space="preserve"> </w:t>
      </w:r>
      <w:r>
        <w:t xml:space="preserve">valves, or AC power supply. This passive architecture satisfies the</w:t>
      </w:r>
      <w:r>
        <w:t xml:space="preserve"> </w:t>
      </w:r>
      <w:r>
        <w:t xml:space="preserve">project’s water-independent heat rejection requirement.</w:t>
      </w:r>
    </w:p>
    <w:bookmarkEnd w:id="76"/>
    <w:bookmarkStart w:id="80" w:name="Xd615793d304ef17a212a2916091a43630f13885"/>
    <w:p>
      <w:pPr>
        <w:pStyle w:val="Heading2"/>
      </w:pPr>
      <w:r>
        <w:t xml:space="preserve">7.4 Safety Transient Analyses</w:t>
      </w:r>
    </w:p>
    <w:p>
      <w:pPr>
        <w:pStyle w:val="FirstParagraph"/>
      </w:pPr>
      <w:r>
        <w:t xml:space="preserve">Three transient models were developed in Python to quantify safety</w:t>
      </w:r>
      <w:r>
        <w:t xml:space="preserve"> </w:t>
      </w:r>
      <w:r>
        <w:t xml:space="preserve">margins under accident conditions. Each couples a lumped-parameter</w:t>
      </w:r>
      <w:r>
        <w:t xml:space="preserve"> </w:t>
      </w:r>
      <w:r>
        <w:t xml:space="preserve">thermal model with point kinetics and the Wigner-Way decay heat</w:t>
      </w:r>
      <w:r>
        <w:t xml:space="preserve"> </w:t>
      </w:r>
      <w:r>
        <w:t xml:space="preserve">approximation (7% of full power at shutdown, declining per ANS 5.1).</w:t>
      </w:r>
      <w:r>
        <w:t xml:space="preserve"> </w:t>
      </w:r>
      <w:r>
        <w:t xml:space="preserve">Provenance labels are applied below for each quantitative claim.</w:t>
      </w:r>
    </w:p>
    <w:bookmarkStart w:id="77" w:name="X5c90dcf76fb5486aadbd3ba98156d2e785f7a50"/>
    <w:p>
      <w:pPr>
        <w:pStyle w:val="Heading3"/>
      </w:pPr>
      <w:r>
        <w:t xml:space="preserve">7.4.1. Pressurised Loss of Forced Cooling (P-LOFC)</w:t>
      </w:r>
    </w:p>
    <w:p>
      <w:pPr>
        <w:pStyle w:val="FirstParagraph"/>
      </w:pPr>
      <w:r>
        <w:t xml:space="preserve">This bounding conservative case assumes helium remains in the primary</w:t>
      </w:r>
      <w:r>
        <w:t xml:space="preserve"> </w:t>
      </w:r>
      <w:r>
        <w:t xml:space="preserve">circuit, no active SCRAM, and no natural convection. Peak fuel</w:t>
      </w:r>
      <w:r>
        <w:t xml:space="preserve"> </w:t>
      </w:r>
      <w:r>
        <w:t xml:space="preserve">temperature reaches</w:t>
      </w:r>
      <w:r>
        <w:t xml:space="preserve"> </w:t>
      </w:r>
      <w:r>
        <w:rPr>
          <w:b/>
          <w:bCs/>
        </w:rPr>
        <w:t xml:space="preserve">1579 C at 38 hours</w:t>
      </w:r>
      <w:r>
        <w:t xml:space="preserve"> </w:t>
      </w:r>
      <w:r>
        <w:t xml:space="preserve">(Figure 7.1),</w:t>
      </w:r>
      <w:r>
        <w:t xml:space="preserve"> </w:t>
      </w:r>
      <w:r>
        <w:rPr>
          <w:b/>
          <w:bCs/>
        </w:rPr>
        <w:t xml:space="preserve">21 C</w:t>
      </w:r>
      <w:r>
        <w:t xml:space="preserve"> </w:t>
      </w:r>
      <w:r>
        <w:t xml:space="preserve">below</w:t>
      </w:r>
      <w:r>
        <w:t xml:space="preserve"> </w:t>
      </w:r>
      <w:r>
        <w:t xml:space="preserve">the TRISO limit, before passively declining</w:t>
      </w:r>
      <w:r>
        <w:t xml:space="preserve"> </w:t>
      </w:r>
      <w:r>
        <w:rPr>
          <w:b/>
          <w:bCs/>
        </w:rPr>
        <w:t xml:space="preserve">[External-workstream</w:t>
      </w:r>
      <w:r>
        <w:rPr>
          <w:b/>
          <w:bCs/>
        </w:rPr>
        <w:t xml:space="preserve"> </w:t>
      </w:r>
      <w:r>
        <w:rPr>
          <w:b/>
          <w:bCs/>
        </w:rPr>
        <w:t xml:space="preserve">model result]</w:t>
      </w:r>
      <w:r>
        <w:t xml:space="preserve">. This is discussed in relation to HTTR LOFC literature</w:t>
      </w:r>
      <w:r>
        <w:t xml:space="preserve"> </w:t>
      </w:r>
      <w:r>
        <w:t xml:space="preserve">and JAEA 2024 demonstration reports</w:t>
      </w:r>
      <w:r>
        <w:t xml:space="preserve"> </w:t>
      </w:r>
      <w:r>
        <w:rPr>
          <w:b/>
          <w:bCs/>
        </w:rPr>
        <w:t xml:space="preserve">[Literature]</w:t>
      </w:r>
      <w:r>
        <w:t xml:space="preserve">. Omitting natural</w:t>
      </w:r>
      <w:r>
        <w:t xml:space="preserve"> </w:t>
      </w:r>
      <w:r>
        <w:t xml:space="preserve">convection ensures the prediction is conservative.</w:t>
      </w:r>
    </w:p>
    <w:p>
      <w:pPr>
        <w:pStyle w:val="BodyText"/>
      </w:pPr>
    </w:p>
    <w:p>
      <w:pPr>
        <w:pStyle w:val="BodyText"/>
      </w:pPr>
      <w:r>
        <w:t xml:space="preserve">[Figure 7.1. P-LOFC Transient: Peak Fuel Temperature vs. Time]</w:t>
      </w:r>
    </w:p>
    <w:bookmarkEnd w:id="77"/>
    <w:bookmarkStart w:id="78" w:name="Xdc37d899aca4c2c28c6672ff826358effcbc384"/>
    <w:p>
      <w:pPr>
        <w:pStyle w:val="Heading3"/>
      </w:pPr>
      <w:r>
        <w:t xml:space="preserve">7.4.2 Depressurised Loss of Forced Cooling (D-LOFC)</w:t>
      </w:r>
    </w:p>
    <w:p>
      <w:pPr>
        <w:pStyle w:val="FirstParagraph"/>
      </w:pPr>
      <w:r>
        <w:t xml:space="preserve">The D-LOFC model adds primary circuit depressurisation, eliminating</w:t>
      </w:r>
      <w:r>
        <w:t xml:space="preserve"> </w:t>
      </w:r>
      <w:r>
        <w:t xml:space="preserve">helium buoyancy-driven cooling. Heat removal relies solely on graphite</w:t>
      </w:r>
      <w:r>
        <w:t xml:space="preserve"> </w:t>
      </w:r>
      <w:r>
        <w:t xml:space="preserve">conduction and radiation to the RCCS. Peak fuel temperature reaches</w:t>
      </w:r>
      <w:r>
        <w:t xml:space="preserve"> </w:t>
      </w:r>
      <w:r>
        <w:rPr>
          <w:b/>
          <w:bCs/>
        </w:rPr>
        <w:t xml:space="preserve">1590 C at 40 hours</w:t>
      </w:r>
      <w:r>
        <w:t xml:space="preserve"> </w:t>
      </w:r>
      <w:r>
        <w:t xml:space="preserve">(Figure 7.2), confirming fuel integrity is</w:t>
      </w:r>
      <w:r>
        <w:t xml:space="preserve"> </w:t>
      </w:r>
      <w:r>
        <w:t xml:space="preserve">maintained even under this more severe scenario</w:t>
      </w:r>
      <w:r>
        <w:t xml:space="preserve"> </w:t>
      </w:r>
      <w:r>
        <w:rPr>
          <w:b/>
          <w:bCs/>
        </w:rPr>
        <w:t xml:space="preserve">[External-workstream</w:t>
      </w:r>
      <w:r>
        <w:rPr>
          <w:b/>
          <w:bCs/>
        </w:rPr>
        <w:t xml:space="preserve"> </w:t>
      </w:r>
      <w:r>
        <w:rPr>
          <w:b/>
          <w:bCs/>
        </w:rPr>
        <w:t xml:space="preserve">model result]</w:t>
      </w:r>
      <w:r>
        <w:t xml:space="preserve">.</w:t>
      </w:r>
    </w:p>
    <w:p>
      <w:pPr>
        <w:pStyle w:val="BodyText"/>
      </w:pPr>
    </w:p>
    <w:p>
      <w:pPr>
        <w:pStyle w:val="BodyText"/>
      </w:pPr>
      <w:r>
        <w:t xml:space="preserve">[Figure 7.2. D-LOFC Transient: Peak Fuel Temperature vs. Time]</w:t>
      </w:r>
    </w:p>
    <w:bookmarkEnd w:id="78"/>
    <w:bookmarkStart w:id="79" w:name="Xf15cbc8801df71e818b203e5468cc2f57bb63ea"/>
    <w:p>
      <w:pPr>
        <w:pStyle w:val="Heading3"/>
      </w:pPr>
      <w:r>
        <w:t xml:space="preserve">7.4.3 Natural Circulation Verification</w:t>
      </w:r>
    </w:p>
    <w:p>
      <w:pPr>
        <w:pStyle w:val="FirstParagraph"/>
      </w:pPr>
      <w:r>
        <w:t xml:space="preserve">To quantify the conservatism of Section 7.4.1, the P-LOFC model was</w:t>
      </w:r>
      <w:r>
        <w:t xml:space="preserve"> </w:t>
      </w:r>
      <w:r>
        <w:t xml:space="preserve">re-run with natural circulation included (literature-based helium flow</w:t>
      </w:r>
      <w:r>
        <w:t xml:space="preserve"> </w:t>
      </w:r>
      <w:r>
        <w:t xml:space="preserve">at ~3% of forced rate). Peak fuel temperature reduces to</w:t>
      </w:r>
      <w:r>
        <w:t xml:space="preserve"> </w:t>
      </w:r>
      <w:r>
        <w:rPr>
          <w:b/>
          <w:bCs/>
        </w:rPr>
        <w:t xml:space="preserve">1376 C</w:t>
      </w:r>
      <w:r>
        <w:t xml:space="preserve"> </w:t>
      </w:r>
      <w:r>
        <w:t xml:space="preserve">(Figure 7.3), demonstrating</w:t>
      </w:r>
      <w:r>
        <w:t xml:space="preserve"> </w:t>
      </w:r>
      <w:r>
        <w:rPr>
          <w:b/>
          <w:bCs/>
        </w:rPr>
        <w:t xml:space="preserve">203 C</w:t>
      </w:r>
      <w:r>
        <w:t xml:space="preserve"> </w:t>
      </w:r>
      <w:r>
        <w:t xml:space="preserve">of additional margin and</w:t>
      </w:r>
      <w:r>
        <w:t xml:space="preserve"> </w:t>
      </w:r>
      <w:r>
        <w:t xml:space="preserve">confirming that the P-LOFC bounding case is appropriately conservative</w:t>
      </w:r>
      <w:r>
        <w:t xml:space="preserve"> </w:t>
      </w:r>
      <w:r>
        <w:rPr>
          <w:b/>
          <w:bCs/>
        </w:rPr>
        <w:t xml:space="preserve">[External-workstream model result]</w:t>
      </w:r>
      <w:r>
        <w:t xml:space="preserve">.</w:t>
      </w:r>
    </w:p>
    <w:p>
      <w:pPr>
        <w:pStyle w:val="BodyText"/>
      </w:pPr>
    </w:p>
    <w:p>
      <w:pPr>
        <w:pStyle w:val="BodyText"/>
      </w:pPr>
      <w:r>
        <w:t xml:space="preserve">[Figure 7.3. P-LOFC with Natural Circulation: Temperature Comparison]</w:t>
      </w:r>
    </w:p>
    <w:bookmarkEnd w:id="79"/>
    <w:bookmarkEnd w:id="80"/>
    <w:bookmarkEnd w:id="81"/>
    <w:bookmarkStart w:id="85" w:name="Xb6b1e203089c3f650fc8e92efbd279a92f85b00"/>
    <w:p>
      <w:pPr>
        <w:pStyle w:val="Heading1"/>
      </w:pPr>
      <w:r>
        <w:t xml:space="preserve">Section 8: Challenges, Lessons Learned &amp; Team Structure</w:t>
      </w:r>
    </w:p>
    <w:bookmarkStart w:id="82" w:name="Xb84e6b5eced3cf58990411c3f1ee29f49fb57f5"/>
    <w:p>
      <w:pPr>
        <w:pStyle w:val="Heading2"/>
      </w:pPr>
      <w:r>
        <w:t xml:space="preserve">8.1 Professional Challenges</w:t>
      </w:r>
    </w:p>
    <w:p>
      <w:pPr>
        <w:pStyle w:val="FirstParagraph"/>
      </w:pPr>
      <w:r>
        <w:t xml:space="preserve">The principal professional challenge was coordinating a genuinely</w:t>
      </w:r>
      <w:r>
        <w:t xml:space="preserve"> </w:t>
      </w:r>
      <w:r>
        <w:t xml:space="preserve">multi-disciplinary team across reactor physics, thermodynamics, chemical</w:t>
      </w:r>
      <w:r>
        <w:t xml:space="preserve"> </w:t>
      </w:r>
      <w:r>
        <w:t xml:space="preserve">engineering, and carbon accounting - each workstream operating under</w:t>
      </w:r>
      <w:r>
        <w:t xml:space="preserve"> </w:t>
      </w:r>
      <w:r>
        <w:t xml:space="preserve">different modelling frameworks, timelines, and technical languages.</w:t>
      </w:r>
      <w:r>
        <w:t xml:space="preserve"> </w:t>
      </w:r>
      <w:r>
        <w:t xml:space="preserve">Early in the project, it became clear that without a structured</w:t>
      </w:r>
      <w:r>
        <w:t xml:space="preserve"> </w:t>
      </w:r>
      <w:r>
        <w:t xml:space="preserve">mechanism for cross-workstream alignment, assumptions made in one domain</w:t>
      </w:r>
      <w:r>
        <w:t xml:space="preserve"> </w:t>
      </w:r>
      <w:r>
        <w:t xml:space="preserve">could silently invalidate work in another.</w:t>
      </w:r>
    </w:p>
    <w:p>
      <w:pPr>
        <w:pStyle w:val="BodyText"/>
      </w:pPr>
      <w:r>
        <w:t xml:space="preserve">The response was twofold. First, a Master Assumptions Log was</w:t>
      </w:r>
      <w:r>
        <w:t xml:space="preserve"> </w:t>
      </w:r>
      <w:r>
        <w:t xml:space="preserve">established as a single, version-controlled record of every major input,</w:t>
      </w:r>
      <w:r>
        <w:t xml:space="preserve"> </w:t>
      </w:r>
      <w:r>
        <w:t xml:space="preserve">its source, its justification, and its sensitivity classification. Over</w:t>
      </w:r>
      <w:r>
        <w:t xml:space="preserve"> </w:t>
      </w:r>
      <w:r>
        <w:t xml:space="preserve">100 parameters were documented in this way, ensuring full traceability</w:t>
      </w:r>
      <w:r>
        <w:t xml:space="preserve"> </w:t>
      </w:r>
      <w:r>
        <w:t xml:space="preserve">and reproducibility. A concrete example of this process in action was</w:t>
      </w:r>
      <w:r>
        <w:t xml:space="preserve"> </w:t>
      </w:r>
      <w:r>
        <w:t xml:space="preserve">the boundary and headline lock to</w:t>
      </w:r>
      <w:r>
        <w:t xml:space="preserve"> </w:t>
      </w:r>
      <w:r>
        <w:rPr>
          <w:rStyle w:val="VerbatimChar"/>
        </w:rPr>
        <w:t xml:space="preserve">S2_30MW_FUELDISP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fuel_displacement</w:t>
      </w:r>
      <w:r>
        <w:t xml:space="preserve"> </w:t>
      </w:r>
      <w:r>
        <w:t xml:space="preserve">accounting: once fixed, all FoM tables, canonical</w:t>
      </w:r>
      <w:r>
        <w:t xml:space="preserve"> </w:t>
      </w:r>
      <w:r>
        <w:t xml:space="preserve">comparisons, and narrative claims were synchronized to a single source</w:t>
      </w:r>
      <w:r>
        <w:t xml:space="preserve"> </w:t>
      </w:r>
      <w:r>
        <w:t xml:space="preserve">of truth. Second, a RACI framework was adopted to define clear</w:t>
      </w:r>
      <w:r>
        <w:t xml:space="preserve"> </w:t>
      </w:r>
      <w:r>
        <w:t xml:space="preserve">ownership across the nuclear island, power cycle, DAC/HTSE, and CO₂</w:t>
      </w:r>
      <w:r>
        <w:t xml:space="preserve"> </w:t>
      </w:r>
      <w:r>
        <w:t xml:space="preserve">accounting workstreams - eliminating gaps and preventing duplication.</w:t>
      </w:r>
    </w:p>
    <w:p>
      <w:pPr>
        <w:pStyle w:val="BodyText"/>
      </w:pPr>
      <w:r>
        <w:t xml:space="preserve">The key lesson was that rigorous documentation and communication</w:t>
      </w:r>
      <w:r>
        <w:t xml:space="preserve"> </w:t>
      </w:r>
      <w:r>
        <w:t xml:space="preserve">infrastructure are not administrative overhead - they are engineering</w:t>
      </w:r>
      <w:r>
        <w:t xml:space="preserve"> </w:t>
      </w:r>
      <w:r>
        <w:t xml:space="preserve">deliverables in their own right. In a systems-level project, the</w:t>
      </w:r>
      <w:r>
        <w:t xml:space="preserve"> </w:t>
      </w:r>
      <w:r>
        <w:t xml:space="preserve">integration layer is where designs succeed or fail.</w:t>
      </w:r>
    </w:p>
    <w:bookmarkEnd w:id="82"/>
    <w:bookmarkStart w:id="83" w:name="Xe29f0188cc6d720870b6c4b36a29200e2a85d38"/>
    <w:p>
      <w:pPr>
        <w:pStyle w:val="Heading2"/>
      </w:pPr>
      <w:r>
        <w:t xml:space="preserve">8.2 Technical Challenges</w:t>
      </w:r>
    </w:p>
    <w:p>
      <w:pPr>
        <w:pStyle w:val="FirstParagraph"/>
      </w:pPr>
      <w:r>
        <w:t xml:space="preserve">The most significant technical challenge was the non-linear behaviour of</w:t>
      </w:r>
      <w:r>
        <w:t xml:space="preserve"> </w:t>
      </w:r>
      <w:r>
        <w:t xml:space="preserve">the sCO₂ Brayton cycle solver near the CO₂ critical point, where</w:t>
      </w:r>
      <w:r>
        <w:t xml:space="preserve"> </w:t>
      </w:r>
      <w:r>
        <w:t xml:space="preserve">specific heat capacity varies by a factor of five across a narrow</w:t>
      </w:r>
      <w:r>
        <w:t xml:space="preserve"> </w:t>
      </w:r>
      <w:r>
        <w:t xml:space="preserve">pressure-temperature window. Standard fixed-point iteration diverged</w:t>
      </w:r>
      <w:r>
        <w:t xml:space="preserve"> </w:t>
      </w:r>
      <w:r>
        <w:t xml:space="preserve">under these conditions, and property discontinuities propagated errors</w:t>
      </w:r>
      <w:r>
        <w:t xml:space="preserve"> </w:t>
      </w:r>
      <w:r>
        <w:t xml:space="preserve">across the coupled heat exchanger network.</w:t>
      </w:r>
    </w:p>
    <w:p>
      <w:pPr>
        <w:pStyle w:val="BodyText"/>
      </w:pPr>
      <w:r>
        <w:t xml:space="preserve">The solution was a modular, staged validation approach: each component -</w:t>
      </w:r>
      <w:r>
        <w:t xml:space="preserve"> </w:t>
      </w:r>
      <w:r>
        <w:t xml:space="preserve">turbine, compressors, recuperators, dry cooler - was verified in</w:t>
      </w:r>
      <w:r>
        <w:t xml:space="preserve"> </w:t>
      </w:r>
      <w:r>
        <w:t xml:space="preserve">isolation against hand calculations before integration. The nested</w:t>
      </w:r>
      <w:r>
        <w:t xml:space="preserve"> </w:t>
      </w:r>
      <w:r>
        <w:t xml:space="preserve">fixed-point iteration architecture was then built around this validated</w:t>
      </w:r>
      <w:r>
        <w:t xml:space="preserve"> </w:t>
      </w:r>
      <w:r>
        <w:t xml:space="preserve">component library, with 11 embedded feasibility constraints checked at</w:t>
      </w:r>
      <w:r>
        <w:t xml:space="preserve"> </w:t>
      </w:r>
      <w:r>
        <w:t xml:space="preserve">every iteration rather than post-hoc. Energy closure across the full</w:t>
      </w:r>
      <w:r>
        <w:t xml:space="preserve"> </w:t>
      </w:r>
      <w:r>
        <w:t xml:space="preserve">cycle was confirmed to within 0.1%.</w:t>
      </w:r>
    </w:p>
    <w:p>
      <w:pPr>
        <w:pStyle w:val="BodyText"/>
      </w:pPr>
      <w:r>
        <w:t xml:space="preserve">The lesson was that robust modelling is not a function of data quality</w:t>
      </w:r>
      <w:r>
        <w:t xml:space="preserve"> </w:t>
      </w:r>
      <w:r>
        <w:t xml:space="preserve">alone - it is a function of structured simplification, transparent</w:t>
      </w:r>
      <w:r>
        <w:t xml:space="preserve"> </w:t>
      </w:r>
      <w:r>
        <w:t xml:space="preserve">assumptions, and systematic uncertainty management. A model that</w:t>
      </w:r>
      <w:r>
        <w:t xml:space="preserve"> </w:t>
      </w:r>
      <w:r>
        <w:t xml:space="preserve">converges confidently within defined bounds is more valuable than one</w:t>
      </w:r>
      <w:r>
        <w:t xml:space="preserve"> </w:t>
      </w:r>
      <w:r>
        <w:t xml:space="preserve">that reaches a precise answer through opaque means.</w:t>
      </w:r>
    </w:p>
    <w:bookmarkEnd w:id="83"/>
    <w:bookmarkStart w:id="84" w:name="X850af05aed3f160d240f5a7c38794b5cec53a9e"/>
    <w:p>
      <w:pPr>
        <w:pStyle w:val="Heading2"/>
      </w:pPr>
      <w:r>
        <w:t xml:space="preserve">8.3 Team Structure</w:t>
      </w:r>
    </w:p>
    <w:p>
      <w:pPr>
        <w:pStyle w:val="FirstParagraph"/>
      </w:pPr>
      <w:r>
        <w:t xml:space="preserve">The team comprised six members: Ariella Morris, Eima Miyasaka, Mathias</w:t>
      </w:r>
      <w:r>
        <w:t xml:space="preserve"> </w:t>
      </w:r>
      <w:r>
        <w:t xml:space="preserve">Tidball, Prim Mangkhalathanakun, Stefanos Ioannidis, and Adithya Mendis.</w:t>
      </w:r>
      <w:r>
        <w:t xml:space="preserve"> </w:t>
      </w:r>
      <w:r>
        <w:t xml:space="preserve">Responsibilities were divided by technical workstream with defined</w:t>
      </w:r>
      <w:r>
        <w:t xml:space="preserve"> </w:t>
      </w:r>
      <w:r>
        <w:t xml:space="preserve">ownership: nuclear safety and transient modelling (Eima), power cycle</w:t>
      </w:r>
      <w:r>
        <w:t xml:space="preserve"> </w:t>
      </w:r>
      <w:r>
        <w:t xml:space="preserve">modelling and V&amp;V (Stef), CO₂ accounting and primary FOM (Prim),</w:t>
      </w:r>
      <w:r>
        <w:t xml:space="preserve"> </w:t>
      </w:r>
      <w:r>
        <w:t xml:space="preserve">down-selection and system architecture (Mathias), results and secondary</w:t>
      </w:r>
      <w:r>
        <w:t xml:space="preserve"> </w:t>
      </w:r>
      <w:r>
        <w:t xml:space="preserve">FOMs (Adithya), and report structure, team coordination, and Group</w:t>
      </w:r>
      <w:r>
        <w:t xml:space="preserve"> </w:t>
      </w:r>
      <w:r>
        <w:t xml:space="preserve">Leader (Ariella). Weekly structured synchronisation meetings maintained</w:t>
      </w:r>
      <w:r>
        <w:t xml:space="preserve"> </w:t>
      </w:r>
      <w:r>
        <w:t xml:space="preserve">alignment across workstreams, with the Master Assumptions Log serving as</w:t>
      </w:r>
      <w:r>
        <w:t xml:space="preserve"> </w:t>
      </w:r>
      <w:r>
        <w:t xml:space="preserve">the shared technical ground truth. Responsibilities were distributed</w:t>
      </w:r>
      <w:r>
        <w:t xml:space="preserve"> </w:t>
      </w:r>
      <w:r>
        <w:t xml:space="preserve">among all six members to reflect the genuine collaborative nature of the</w:t>
      </w:r>
      <w:r>
        <w:t xml:space="preserve"> </w:t>
      </w:r>
      <w:r>
        <w:t xml:space="preserve">work.</w:t>
      </w:r>
    </w:p>
    <w:bookmarkEnd w:id="84"/>
    <w:bookmarkEnd w:id="85"/>
    <w:bookmarkStart w:id="88" w:name="section-9---novelty-and-future-work"/>
    <w:p>
      <w:pPr>
        <w:pStyle w:val="Heading1"/>
      </w:pPr>
      <w:r>
        <w:t xml:space="preserve">Section 9 - Novelty and Future Work</w:t>
      </w:r>
    </w:p>
    <w:bookmarkStart w:id="86" w:name="X1818d0149f924208d067b82018c15e117d569a0"/>
    <w:p>
      <w:pPr>
        <w:pStyle w:val="Heading2"/>
      </w:pPr>
      <w:r>
        <w:t xml:space="preserve">9.1 Novelty</w:t>
      </w:r>
    </w:p>
    <w:p>
      <w:pPr>
        <w:pStyle w:val="FirstParagraph"/>
      </w:pPr>
      <w:r>
        <w:t xml:space="preserve">The project novelty is not a single component, but the integrated use of</w:t>
      </w:r>
      <w:r>
        <w:t xml:space="preserve"> </w:t>
      </w:r>
      <w:r>
        <w:t xml:space="preserve">heat quality across the full plant: power generation at high-grade heat,</w:t>
      </w:r>
      <w:r>
        <w:t xml:space="preserve"> </w:t>
      </w:r>
      <w:r>
        <w:t xml:space="preserve">process duty at lower-grade heat, and explicit feasibility-gated</w:t>
      </w:r>
      <w:r>
        <w:t xml:space="preserve"> </w:t>
      </w:r>
      <w:r>
        <w:t xml:space="preserve">operation under dry-cooling constraints. This design framing converts</w:t>
      </w:r>
      <w:r>
        <w:t xml:space="preserve"> </w:t>
      </w:r>
      <w:r>
        <w:t xml:space="preserve">the dry-cooling penalty from a pure loss into a system-integration</w:t>
      </w:r>
      <w:r>
        <w:t xml:space="preserve"> </w:t>
      </w:r>
      <w:r>
        <w:t xml:space="preserve">opportunity while keeping headline CO2 claims tied to an explicitly</w:t>
      </w:r>
      <w:r>
        <w:t xml:space="preserve"> </w:t>
      </w:r>
      <w:r>
        <w:t xml:space="preserve">labeled comparator boundary (</w:t>
      </w:r>
      <w:r>
        <w:rPr>
          <w:rStyle w:val="VerbatimChar"/>
        </w:rPr>
        <w:t xml:space="preserve">fuel_displacement</w:t>
      </w:r>
      <w:r>
        <w:t xml:space="preserve">).</w:t>
      </w:r>
    </w:p>
    <w:bookmarkEnd w:id="86"/>
    <w:bookmarkStart w:id="87" w:name="X2207e04e53a466f5074fd27327eca4dc54156b3"/>
    <w:p>
      <w:pPr>
        <w:pStyle w:val="Heading2"/>
      </w:pPr>
      <w:r>
        <w:t xml:space="preserve">9.2 Future Work</w:t>
      </w:r>
    </w:p>
    <w:p>
      <w:pPr>
        <w:pStyle w:val="FirstParagraph"/>
      </w:pPr>
      <w:r>
        <w:t xml:space="preserve">Priority next steps are:</w:t>
      </w:r>
    </w:p>
    <w:p>
      <w:pPr>
        <w:pStyle w:val="Compact"/>
        <w:numPr>
          <w:ilvl w:val="0"/>
          <w:numId w:val="1008"/>
        </w:numPr>
      </w:pPr>
      <w:r>
        <w:t xml:space="preserve">branch-reproducible safety transient coupling in the main plant</w:t>
      </w:r>
      <w:r>
        <w:t xml:space="preserve"> </w:t>
      </w:r>
      <w:r>
        <w:t xml:space="preserve">repository,</w:t>
      </w:r>
    </w:p>
    <w:p>
      <w:pPr>
        <w:pStyle w:val="Compact"/>
        <w:numPr>
          <w:ilvl w:val="0"/>
          <w:numId w:val="1008"/>
        </w:numPr>
      </w:pPr>
      <w:r>
        <w:t xml:space="preserve">stabilization of fully coupled-cooler sensitivity mode at high</w:t>
      </w:r>
      <w:r>
        <w:t xml:space="preserve"> </w:t>
      </w:r>
      <w:r>
        <w:t xml:space="preserve">ambient conditions,</w:t>
      </w:r>
    </w:p>
    <w:p>
      <w:pPr>
        <w:pStyle w:val="Compact"/>
        <w:numPr>
          <w:ilvl w:val="0"/>
          <w:numId w:val="1008"/>
        </w:numPr>
      </w:pPr>
      <w:r>
        <w:t xml:space="preserve">expanded uncertainty campaign consistent with full BEPU framing,</w:t>
      </w:r>
    </w:p>
    <w:p>
      <w:pPr>
        <w:pStyle w:val="Compact"/>
        <w:numPr>
          <w:ilvl w:val="0"/>
          <w:numId w:val="1008"/>
        </w:numPr>
      </w:pPr>
      <w:r>
        <w:t xml:space="preserve">higher-fidelity off-design heat-rejection analysis.</w:t>
      </w:r>
    </w:p>
    <w:bookmarkEnd w:id="87"/>
    <w:bookmarkEnd w:id="88"/>
    <w:bookmarkStart w:id="100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(Section 1)</w:t>
      </w:r>
    </w:p>
    <w:p>
      <w:pPr>
        <w:pStyle w:val="BodyText"/>
      </w:pPr>
      <w:r>
        <w:t xml:space="preserve">Sharmina, M., Edelenbosch, O. Y., Wilson, C., Freeman, R., Gernaat, D.</w:t>
      </w:r>
      <w:r>
        <w:t xml:space="preserve"> </w:t>
      </w:r>
      <w:r>
        <w:t xml:space="preserve">E. H. J., Gilbert, P., … Le Quéré, C. (2021). Decarbonising the critical</w:t>
      </w:r>
      <w:r>
        <w:t xml:space="preserve"> </w:t>
      </w:r>
      <w:r>
        <w:t xml:space="preserve">sectors of aviation, shipping, road freight and industry to limit</w:t>
      </w:r>
      <w:r>
        <w:t xml:space="preserve"> </w:t>
      </w:r>
      <w:r>
        <w:t xml:space="preserve">warming to 1.5–2°C.</w:t>
      </w:r>
      <w:r>
        <w:t xml:space="preserve"> </w:t>
      </w:r>
      <w:r>
        <w:rPr>
          <w:i/>
          <w:iCs/>
        </w:rPr>
        <w:t xml:space="preserve">Climate Policy</w:t>
      </w:r>
      <w:r>
        <w:t xml:space="preserve">,</w:t>
      </w:r>
      <w:r>
        <w:t xml:space="preserve"> </w:t>
      </w:r>
      <w:r>
        <w:rPr>
          <w:i/>
          <w:iCs/>
        </w:rPr>
        <w:t xml:space="preserve">21</w:t>
      </w:r>
      <w:r>
        <w:t xml:space="preserve">(4), 455–474.</w:t>
      </w:r>
      <w:r>
        <w:t xml:space="preserve"> </w:t>
      </w:r>
      <w:hyperlink r:id="rId89">
        <w:r>
          <w:rPr>
            <w:rStyle w:val="Hyperlink"/>
          </w:rPr>
          <w:t xml:space="preserve">https://doi.org/10.1080/14693062.2020.1831430</w:t>
        </w:r>
      </w:hyperlink>
    </w:p>
    <w:p>
      <w:pPr>
        <w:pStyle w:val="BodyText"/>
      </w:pPr>
      <w:r>
        <w:t xml:space="preserve">(For Section 7)</w:t>
      </w:r>
    </w:p>
    <w:p>
      <w:pPr>
        <w:pStyle w:val="BodyText"/>
      </w:pPr>
      <w:r>
        <w:t xml:space="preserve">[1] International Atomic Energy Agency (1996) Defence in Depth in</w:t>
      </w:r>
      <w:r>
        <w:t xml:space="preserve"> </w:t>
      </w:r>
      <w:r>
        <w:t xml:space="preserve">Nuclear Safety. INSAG-10. Vienna: IAEA.</w:t>
      </w:r>
    </w:p>
    <w:p>
      <w:pPr>
        <w:pStyle w:val="BodyText"/>
      </w:pPr>
      <w:r>
        <w:t xml:space="preserve">[2] Japan Atomic Energy Agency (2024) Success of Safety Demonstration</w:t>
      </w:r>
      <w:r>
        <w:t xml:space="preserve"> </w:t>
      </w:r>
      <w:r>
        <w:t xml:space="preserve">Test in HTTR [Press release]. 28 March. Available at:</w:t>
      </w:r>
      <w:r>
        <w:t xml:space="preserve"> </w:t>
      </w:r>
      <w:hyperlink r:id="rId90">
        <w:hyperlink r:id="rId90">
          <w:r>
            <w:rPr>
              <w:rStyle w:val="Hyperlink"/>
            </w:rPr>
            <w:t xml:space="preserve">https://www.jaea.go.jp/english/news/press/2024/032801/</w:t>
          </w:r>
        </w:hyperlink>
      </w:hyperlink>
      <w:r>
        <w:t xml:space="preserve"> </w:t>
      </w:r>
      <w:r>
        <w:t xml:space="preserve">(Accessed: 20 February 2026).</w:t>
      </w:r>
    </w:p>
    <w:p>
      <w:pPr>
        <w:pStyle w:val="BodyText"/>
      </w:pPr>
      <w:r>
        <w:t xml:space="preserve">[3] Takamatsu, K., Tochio, D., Nakagawa, S. and Takada, S. (2014)</w:t>
      </w:r>
      <w:r>
        <w:t xml:space="preserve"> </w:t>
      </w:r>
      <w:r>
        <w:t xml:space="preserve">'Experiments and validation analyses of HTTR on loss of forced cooling</w:t>
      </w:r>
      <w:r>
        <w:t xml:space="preserve"> </w:t>
      </w:r>
      <w:r>
        <w:t xml:space="preserve">under 30% reactor power', Journal of Nuclear Science and Technology,</w:t>
      </w:r>
      <w:r>
        <w:t xml:space="preserve"> </w:t>
      </w:r>
      <w:r>
        <w:t xml:space="preserve">51(11–12). doi:10.1080/00223131.2014.967324.</w:t>
      </w:r>
    </w:p>
    <w:p>
      <w:pPr>
        <w:pStyle w:val="BodyText"/>
      </w:pPr>
      <w:r>
        <w:t xml:space="preserve">[4] Organisation for Economic Co-operation and Development/Nuclear</w:t>
      </w:r>
      <w:r>
        <w:t xml:space="preserve"> </w:t>
      </w:r>
      <w:r>
        <w:t xml:space="preserve">Energy Agency (2024) Loss of Forced Coolant (LOFC) Project. Available</w:t>
      </w:r>
      <w:r>
        <w:t xml:space="preserve"> </w:t>
      </w:r>
      <w:r>
        <w:t xml:space="preserve">at:</w:t>
      </w:r>
      <w:r>
        <w:t xml:space="preserve"> </w:t>
      </w:r>
      <w:hyperlink r:id="rId91">
        <w:hyperlink r:id="rId91">
          <w:r>
            <w:rPr>
              <w:rStyle w:val="Hyperlink"/>
            </w:rPr>
            <w:t xml:space="preserve">https://www.oecd-nea.org/jcms/pl_25168</w:t>
          </w:r>
        </w:hyperlink>
      </w:hyperlink>
      <w:r>
        <w:t xml:space="preserve"> </w:t>
      </w:r>
      <w:r>
        <w:t xml:space="preserve">(Accessed: 24 February 2026).</w:t>
      </w:r>
    </w:p>
    <w:p>
      <w:pPr>
        <w:pStyle w:val="BodyText"/>
      </w:pPr>
      <w:r>
        <w:t xml:space="preserve">[5] Idaho National Laboratory (no date) TRISO Fuel: Accident</w:t>
      </w:r>
      <w:r>
        <w:t xml:space="preserve"> </w:t>
      </w:r>
      <w:r>
        <w:t xml:space="preserve">Performance and NRC Engagement. Report Sort_66160. Available at:</w:t>
      </w:r>
      <w:r>
        <w:t xml:space="preserve"> </w:t>
      </w:r>
      <w:hyperlink r:id="rId92">
        <w:hyperlink r:id="rId92">
          <w:r>
            <w:rPr>
              <w:rStyle w:val="Hyperlink"/>
            </w:rPr>
            <w:t xml:space="preserve">https://inldigitallibrary.inl.gov/sites/sti/sti/Sort_66160.pdf</w:t>
          </w:r>
        </w:hyperlink>
      </w:hyperlink>
      <w:r>
        <w:t xml:space="preserve"> </w:t>
      </w:r>
      <w:r>
        <w:t xml:space="preserve">(Accessed: 24 February 2026).</w:t>
      </w:r>
    </w:p>
    <w:p>
      <w:pPr>
        <w:pStyle w:val="BodyText"/>
      </w:pPr>
      <w:r>
        <w:t xml:space="preserve">[6] International Atomic Energy Agency (2003) Evaluation of High</w:t>
      </w:r>
      <w:r>
        <w:t xml:space="preserve"> </w:t>
      </w:r>
      <w:r>
        <w:t xml:space="preserve">Temperature Gas Cooled Reactor Performance. TECDOC-1382. Vienna: IAEA.</w:t>
      </w:r>
    </w:p>
    <w:p>
      <w:pPr>
        <w:pStyle w:val="BodyText"/>
      </w:pPr>
      <w:r>
        <w:t xml:space="preserve">[7] American Nuclear Society (2014) Decay Heat Power in Light Water</w:t>
      </w:r>
      <w:r>
        <w:t xml:space="preserve"> </w:t>
      </w:r>
      <w:r>
        <w:t xml:space="preserve">Reactors. ANS 5.1-2014. La Grange Park, IL: ANS.</w:t>
      </w:r>
    </w:p>
    <w:p>
      <w:pPr>
        <w:pStyle w:val="BodyText"/>
      </w:pPr>
      <w:r>
        <w:t xml:space="preserve">[8] Generation IV International Forum (2018) VHTR Safety Assessment.</w:t>
      </w:r>
      <w:r>
        <w:t xml:space="preserve"> </w:t>
      </w:r>
      <w:r>
        <w:t xml:space="preserve">GIF/VHTR. Available at:</w:t>
      </w:r>
      <w:r>
        <w:t xml:space="preserve"> </w:t>
      </w:r>
      <w:hyperlink r:id="rId93">
        <w:hyperlink r:id="rId93">
          <w:r>
            <w:rPr>
              <w:rStyle w:val="Hyperlink"/>
            </w:rPr>
            <w:t xml:space="preserve">https://www.gen-4.org/gif/upload/docs/application/pdf/2018-12/gifvhtr_safety_assessment_finaldec2018.pdf</w:t>
          </w:r>
        </w:hyperlink>
      </w:hyperlink>
      <w:r>
        <w:t xml:space="preserve"> </w:t>
      </w:r>
      <w:r>
        <w:t xml:space="preserve">(Accessed: 24 February 2026).</w:t>
      </w:r>
    </w:p>
    <w:p>
      <w:pPr>
        <w:pStyle w:val="BodyText"/>
      </w:pPr>
      <w:r>
        <w:t xml:space="preserve">(For Sections 4.3, 6.2, and Appendix 4.3)</w:t>
      </w:r>
    </w:p>
    <w:p>
      <w:pPr>
        <w:pStyle w:val="BlockText"/>
      </w:pPr>
      <w:r>
        <w:t xml:space="preserve">EUROCONTROL. (n.d.).</w:t>
      </w:r>
      <w:r>
        <w:t xml:space="preserve"> </w:t>
      </w:r>
      <w:r>
        <w:rPr>
          <w:i/>
          <w:iCs/>
        </w:rPr>
        <w:t xml:space="preserve">7 Amount of emissions released by fuel burn</w:t>
      </w:r>
      <w:r>
        <w:t xml:space="preserve">.</w:t>
      </w:r>
      <w:r>
        <w:t xml:space="preserve"> </w:t>
      </w:r>
      <w:r>
        <w:t xml:space="preserve">EUROCONTROL. Retrieved</w:t>
      </w:r>
      <w:r>
        <w:t xml:space="preserve"> </w:t>
      </w:r>
      <w:hyperlink r:id="rId94">
        <w:hyperlink r:id="rId94">
          <w:r>
            <w:rPr>
              <w:rStyle w:val="Hyperlink"/>
            </w:rPr>
            <w:t xml:space="preserve">https://ansperformance.eu/economics/cba/standard-inputs/latest/chapters/amount_of_emissions_released_by_fuel_burn.html</w:t>
          </w:r>
        </w:hyperlink>
      </w:hyperlink>
    </w:p>
    <w:p>
      <w:pPr>
        <w:pStyle w:val="BlockText"/>
      </w:pPr>
      <w:r>
        <w:t xml:space="preserve">ICAP. (2026, January 19).</w:t>
      </w:r>
      <w:r>
        <w:t xml:space="preserve"> </w:t>
      </w:r>
      <w:r>
        <w:rPr>
          <w:i/>
          <w:iCs/>
        </w:rPr>
        <w:t xml:space="preserve">EU Emissions Trading System (EU ETS) |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Carbon Action Partnership</w:t>
      </w:r>
      <w:r>
        <w:t xml:space="preserve">.</w:t>
      </w:r>
      <w:r>
        <w:t xml:space="preserve"> </w:t>
      </w:r>
      <w:hyperlink r:id="rId95">
        <w:hyperlink r:id="rId95">
          <w:r>
            <w:rPr>
              <w:rStyle w:val="Hyperlink"/>
            </w:rPr>
            <w:t xml:space="preserve">https://icapcarbonaction.com/en/ets/eu-emissions-trading-system-eu-ets</w:t>
          </w:r>
        </w:hyperlink>
      </w:hyperlink>
    </w:p>
    <w:p>
      <w:pPr>
        <w:pStyle w:val="BlockText"/>
      </w:pPr>
      <w:r>
        <w:t xml:space="preserve">Le Boulch, D., Buronfosse, M., Le Guern, Y., Duvernois, P.-A., &amp;</w:t>
      </w:r>
      <w:r>
        <w:t xml:space="preserve"> </w:t>
      </w:r>
      <w:r>
        <w:t xml:space="preserve">Payen, N. (2024). Meta-analysis of the greenhouse gases emissions of</w:t>
      </w:r>
      <w:r>
        <w:t xml:space="preserve"> </w:t>
      </w:r>
      <w:r>
        <w:t xml:space="preserve">nuclear electricity generation: Learnings for process-based LCA.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Journal of Life Cycle Assessment</w:t>
      </w:r>
      <w:r>
        <w:t xml:space="preserve">,</w:t>
      </w:r>
      <w:r>
        <w:t xml:space="preserve"> </w:t>
      </w:r>
      <w:r>
        <w:rPr>
          <w:i/>
          <w:iCs/>
        </w:rPr>
        <w:t xml:space="preserve">29</w:t>
      </w:r>
      <w:r>
        <w:t xml:space="preserve">(5), 857–872.</w:t>
      </w:r>
      <w:r>
        <w:t xml:space="preserve"> </w:t>
      </w:r>
      <w:hyperlink r:id="rId96">
        <w:hyperlink r:id="rId96">
          <w:r>
            <w:rPr>
              <w:rStyle w:val="Hyperlink"/>
            </w:rPr>
            <w:t xml:space="preserve">https://doi.org/10.1007/s11367-024-02293-y</w:t>
          </w:r>
        </w:hyperlink>
      </w:hyperlink>
    </w:p>
    <w:p>
      <w:pPr>
        <w:pStyle w:val="BlockText"/>
      </w:pPr>
      <w:r>
        <w:t xml:space="preserve">MissionZero. (n.d.).</w:t>
      </w:r>
      <w:r>
        <w:t xml:space="preserve"> </w:t>
      </w:r>
      <w:r>
        <w:rPr>
          <w:i/>
          <w:iCs/>
        </w:rPr>
        <w:t xml:space="preserve">Sustainable CO2: What it is, where it comes</w:t>
      </w:r>
      <w:r>
        <w:rPr>
          <w:i/>
          <w:iCs/>
        </w:rPr>
        <w:t xml:space="preserve"> </w:t>
      </w:r>
      <w:r>
        <w:rPr>
          <w:i/>
          <w:iCs/>
        </w:rPr>
        <w:t xml:space="preserve">from, what it means for the climate</w:t>
      </w:r>
      <w:r>
        <w:t xml:space="preserve">. Retrieved 19 January 2026, from</w:t>
      </w:r>
      <w:r>
        <w:t xml:space="preserve"> </w:t>
      </w:r>
      <w:hyperlink r:id="rId97">
        <w:hyperlink r:id="rId97">
          <w:r>
            <w:rPr>
              <w:rStyle w:val="Hyperlink"/>
            </w:rPr>
            <w:t xml:space="preserve">https://www.missionzero.tech/lab-notes/sustainable-co2</w:t>
          </w:r>
        </w:hyperlink>
      </w:hyperlink>
    </w:p>
    <w:p>
      <w:pPr>
        <w:pStyle w:val="BlockText"/>
      </w:pPr>
      <w:r>
        <w:t xml:space="preserve">Rolls-Royce Corporation. (2021, October).</w:t>
      </w:r>
      <w:r>
        <w:t xml:space="preserve"> </w:t>
      </w:r>
      <w:r>
        <w:rPr>
          <w:i/>
          <w:iCs/>
        </w:rPr>
        <w:t xml:space="preserve">FAA Continuous Lower</w:t>
      </w:r>
      <w:r>
        <w:rPr>
          <w:i/>
          <w:iCs/>
        </w:rPr>
        <w:t xml:space="preserve"> </w:t>
      </w:r>
      <w:r>
        <w:rPr>
          <w:i/>
          <w:iCs/>
        </w:rPr>
        <w:t xml:space="preserve">Energy, Emissions, and Noise (CLEEN II) Technologies Program</w:t>
      </w:r>
      <w:r>
        <w:t xml:space="preserve">.</w:t>
      </w:r>
      <w:r>
        <w:t xml:space="preserve"> </w:t>
      </w:r>
      <w:hyperlink r:id="rId98">
        <w:hyperlink r:id="rId98">
          <w:r>
            <w:rPr>
              <w:rStyle w:val="Hyperlink"/>
            </w:rPr>
            <w:t xml:space="preserve">https://www.faa.gov/sites/faa.gov/files/2022-02/phase2_rolls-royce_sustainable_aviation_fuels_final.pdf</w:t>
          </w:r>
        </w:hyperlink>
      </w:hyperlink>
    </w:p>
    <w:p>
      <w:pPr>
        <w:pStyle w:val="BlockText"/>
      </w:pPr>
      <w:r>
        <w:t xml:space="preserve">Scott, D. (2025, October 6). Why SAF is expected to play a larger role</w:t>
      </w:r>
      <w:r>
        <w:t xml:space="preserve"> </w:t>
      </w:r>
      <w:r>
        <w:t xml:space="preserve">in near- and medium-term decarbonization than zero-emission aircraft.</w:t>
      </w:r>
      <w:r>
        <w:t xml:space="preserve"> </w:t>
      </w:r>
      <w:r>
        <w:rPr>
          <w:i/>
          <w:iCs/>
        </w:rPr>
        <w:t xml:space="preserve">International Council on Clean Transportation</w:t>
      </w:r>
      <w:r>
        <w:t xml:space="preserve">.</w:t>
      </w:r>
      <w:r>
        <w:t xml:space="preserve"> </w:t>
      </w:r>
      <w:hyperlink r:id="rId99">
        <w:hyperlink r:id="rId99">
          <w:r>
            <w:rPr>
              <w:rStyle w:val="Hyperlink"/>
            </w:rPr>
            <w:t xml:space="preserve">https://theicct.org/why-saf-is-expected-to-have-a-larger-role-in-near-and-medium-term-decarbonization-than-zero-emission-aircraft-sept25/</w:t>
          </w:r>
        </w:hyperlink>
      </w:hyperlink>
    </w:p>
    <w:bookmarkEnd w:id="100"/>
    <w:bookmarkStart w:id="103" w:name="appendix"/>
    <w:p>
      <w:pPr>
        <w:pStyle w:val="Heading1"/>
      </w:pPr>
      <w:r>
        <w:t xml:space="preserve">Appendix</w:t>
      </w:r>
    </w:p>
    <w:bookmarkStart w:id="102" w:name="X5e25010629b4cdabbc91bd592947126bec75267"/>
    <w:p>
      <w:pPr>
        <w:pStyle w:val="Heading2"/>
      </w:pPr>
      <w:r>
        <w:t xml:space="preserve">Appendix 4.3: Detailed CO</w:t>
      </w:r>
      <w:r>
        <w:t xml:space="preserve">2</w:t>
      </w:r>
      <w:r>
        <w:t xml:space="preserve"> </w:t>
      </w:r>
      <w:r>
        <w:t xml:space="preserve">Calculation and Derivations</w:t>
      </w:r>
    </w:p>
    <w:p>
      <w:pPr>
        <w:pStyle w:val="FirstParagraph"/>
      </w:pPr>
      <w:r>
        <w:rPr>
          <w:b/>
          <w:bCs/>
        </w:rPr>
        <w:t xml:space="preserve">Sensitivity-only note:</w:t>
      </w:r>
      <w:r>
        <w:t xml:space="preserve"> </w:t>
      </w:r>
      <w:r>
        <w:t xml:space="preserve">this appendix is provided for</w:t>
      </w:r>
      <w:r>
        <w:t xml:space="preserve"> </w:t>
      </w:r>
      <w:r>
        <w:t xml:space="preserve">legacy equation continuity and comparator context. In this final report,</w:t>
      </w:r>
      <w:r>
        <w:t xml:space="preserve"> </w:t>
      </w:r>
      <w:r>
        <w:rPr>
          <w:rStyle w:val="VerbatimChar"/>
        </w:rPr>
        <w:t xml:space="preserve">fuel_displacement</w:t>
      </w:r>
      <w:r>
        <w:t xml:space="preserve"> </w:t>
      </w:r>
      <w:r>
        <w:t xml:space="preserve">is the headline basis and</w:t>
      </w:r>
      <w:r>
        <w:t xml:space="preserve"> </w:t>
      </w:r>
      <w:r>
        <w:rPr>
          <w:rStyle w:val="VerbatimChar"/>
        </w:rPr>
        <w:t xml:space="preserve">operational_only</w:t>
      </w:r>
      <w:r>
        <w:t xml:space="preserve"> </w:t>
      </w:r>
      <w:r>
        <w:t xml:space="preserve">is a</w:t>
      </w:r>
      <w:r>
        <w:t xml:space="preserve"> </w:t>
      </w:r>
      <w:r>
        <w:t xml:space="preserve">sensitivity basis.</w:t>
      </w:r>
    </w:p>
    <w:p>
      <w:pPr>
        <w:pStyle w:val="BodyText"/>
      </w:pPr>
      <w:r>
        <w:rPr>
          <w:b/>
          <w:bCs/>
        </w:rPr>
        <w:t xml:space="preserve">Symbol mapping to current report boundary labels:</w:t>
      </w:r>
    </w:p>
    <w:p>
      <w:pPr>
        <w:pStyle w:val="Compact"/>
        <w:numPr>
          <w:ilvl w:val="0"/>
          <w:numId w:val="1009"/>
        </w:numPr>
      </w:pPr>
      <w:r>
        <w:t xml:space="preserve">Legacy</w:t>
      </w:r>
      <w:r>
        <w:t xml:space="preserve"> </w:t>
      </w:r>
      <w:r>
        <w:rPr>
          <w:rStyle w:val="VerbatimChar"/>
        </w:rPr>
        <w:t xml:space="preserve">E_Baseline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E_Project</w:t>
      </w:r>
      <w:r>
        <w:t xml:space="preserve"> </w:t>
      </w:r>
      <w:r>
        <w:t xml:space="preserve">terms map to comparator</w:t>
      </w:r>
      <w:r>
        <w:t xml:space="preserve"> </w:t>
      </w:r>
      <w:r>
        <w:t xml:space="preserve">accounting in</w:t>
      </w:r>
      <w:r>
        <w:t xml:space="preserve"> </w:t>
      </w:r>
      <w:r>
        <w:rPr>
          <w:rStyle w:val="VerbatimChar"/>
        </w:rPr>
        <w:t xml:space="preserve">fuel_displacement</w:t>
      </w:r>
      <w:r>
        <w:t xml:space="preserve"> </w:t>
      </w:r>
      <w:r>
        <w:t xml:space="preserve">headline mode.</w:t>
      </w:r>
    </w:p>
    <w:p>
      <w:pPr>
        <w:pStyle w:val="Compact"/>
        <w:numPr>
          <w:ilvl w:val="0"/>
          <w:numId w:val="1009"/>
        </w:numPr>
      </w:pPr>
      <w:r>
        <w:t xml:space="preserve">Main-body sensitivity uses</w:t>
      </w:r>
      <w:r>
        <w:t xml:space="preserve"> </w:t>
      </w:r>
      <w:r>
        <w:rPr>
          <w:rStyle w:val="VerbatimChar"/>
        </w:rPr>
        <w:t xml:space="preserve">Net_CO2_operational_only = CO2_DAC + CO2_grid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Legacy net result (</w:t>
      </w:r>
      <w:r>
        <w:rPr>
          <w:rStyle w:val="VerbatimChar"/>
        </w:rPr>
        <w:t xml:space="preserve">~33,374 tCO2/year</w:t>
      </w:r>
      <w:r>
        <w:t xml:space="preserve">) is historical comparator</w:t>
      </w:r>
      <w:r>
        <w:t xml:space="preserve"> </w:t>
      </w:r>
      <w:r>
        <w:t xml:space="preserve">context and not the current solved headline value.</w:t>
      </w:r>
    </w:p>
    <w:p>
      <w:pPr>
        <w:pStyle w:val="FirstParagraph"/>
      </w:pPr>
      <w:r>
        <w:t xml:space="preserve">Table 4.3: Input parameters and numerical substitutions</w:t>
      </w:r>
    </w:p>
    <w:bookmarkStart w:id="101" w:name="derivation-of-nuclear-heat-ef"/>
    <w:p>
      <w:pPr>
        <w:pStyle w:val="Heading4"/>
      </w:pPr>
      <w:r>
        <w:rPr>
          <w:b/>
          <w:bCs/>
        </w:rPr>
        <w:t xml:space="preserve">Derivation of Nuclear Heat EF</w:t>
      </w:r>
    </w:p>
    <w:p>
      <w:pPr>
        <w:pStyle w:val="FirstParagraph"/>
      </w:pPr>
      <w:r>
        <w:t xml:space="preserve">The nuclear heat emission factor is derived from the nuclear electricity</w:t>
      </w:r>
      <w:r>
        <w:t xml:space="preserve"> </w:t>
      </w:r>
      <w:r>
        <w:t xml:space="preserve">emission factor and the HTGR efficiency of our model (Liu et al., 2020).</w:t>
      </w:r>
    </w:p>
    <w:p>
      <w:pPr>
        <w:pStyle w:val="BodyText"/>
      </w:pPr>
    </w:p>
    <w:bookmarkEnd w:id="101"/>
    <w:bookmarkEnd w:id="102"/>
    <w:bookmarkEnd w:id="103"/>
    <w:sectPr>
      <w:pgSz w:h="16834" w:orient="portrait" w:w="11909"/>
      <w:pgMar w:bottom="1440" w:footer="720" w:header="72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sz w:val="22"/>
        <w:szCs w:val="22"/>
        <w:lang w:val="en_GB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styleId="Table1" w:type="table">
    <w:basedOn w:val="TableNormal"/>
    <w:tblPr>
      <w:tblStyleRowBandSize w:val="1"/>
      <w:tblStyleColBandSize w:val="1"/>
      <w:tblCellMar/>
    </w:tblPr>
  </w:style>
  <w:style w:styleId="Table2" w:type="table">
    <w:basedOn w:val="TableNormal"/>
    <w:tblPr>
      <w:tblStyleRowBandSize w:val="1"/>
      <w:tblStyleColBandSize w:val="1"/>
    </w:tblPr>
  </w:style>
  <w:style w:styleId="Table3" w:type="table">
    <w:basedOn w:val="TableNormal"/>
    <w:tblPr>
      <w:tblStyleRowBandSize w:val="1"/>
      <w:tblStyleColBandSize w:val="1"/>
    </w:tbl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50" Target="numbering.xml" /><Relationship Type="http://schemas.openxmlformats.org/officeDocument/2006/relationships/styles" Id="rId49" Target="styles.xml" /><Relationship Type="http://schemas.openxmlformats.org/officeDocument/2006/relationships/settings" Id="rId48" Target="settings.xml" /><Relationship Type="http://schemas.openxmlformats.org/officeDocument/2006/relationships/webSettings" Id="rId47" Target="webSettings.xml" /><Relationship Type="http://schemas.openxmlformats.org/officeDocument/2006/relationships/fontTable" Id="rId46" Target="fontTable.xml" /><Relationship Type="http://schemas.openxmlformats.org/officeDocument/2006/relationships/theme" Id="rId45" Target="theme/theme1.xml" /><Relationship Type="http://schemas.openxmlformats.org/officeDocument/2006/relationships/footnotes" Id="rId44" Target="footnotes.xml" /><Relationship Type="http://schemas.openxmlformats.org/officeDocument/2006/relationships/comments" Id="rId43" Target="comments.xml" /><Relationship Id="rId40" Target="media/image2.png" Type="http://schemas.openxmlformats.org/officeDocument/2006/relationships/image" /><Relationship Id="rId20" Target="media/image27.png" Type="http://schemas.openxmlformats.org/officeDocument/2006/relationships/image" /><Relationship Id="rId42" Target="media/image21.png" Type="http://schemas.openxmlformats.org/officeDocument/2006/relationships/image" /><Relationship Id="rId41" Target="media/image23.png" Type="http://schemas.openxmlformats.org/officeDocument/2006/relationships/image" /><Relationship Id="rId21" Target="media/image22.png" Type="http://schemas.openxmlformats.org/officeDocument/2006/relationships/image" /><Relationship Id="rId9" Target="media/image3.png" Type="http://schemas.openxmlformats.org/officeDocument/2006/relationships/image" /><Relationship Id="rId6" Target="media/image24.png" Type="http://schemas.openxmlformats.org/officeDocument/2006/relationships/image" /><Relationship Id="rId7" Target="media/image8.png" Type="http://schemas.openxmlformats.org/officeDocument/2006/relationships/image" /><Relationship Id="rId8" Target="media/image17.png" Type="http://schemas.openxmlformats.org/officeDocument/2006/relationships/image" /><Relationship Id="rId11" Target="media/image10.png" Type="http://schemas.openxmlformats.org/officeDocument/2006/relationships/image" /><Relationship Id="rId10" Target="media/image26.png" Type="http://schemas.openxmlformats.org/officeDocument/2006/relationships/image" /><Relationship Id="rId13" Target="media/image13.png" Type="http://schemas.openxmlformats.org/officeDocument/2006/relationships/image" /><Relationship Id="rId12" Target="media/image1.png" Type="http://schemas.openxmlformats.org/officeDocument/2006/relationships/image" /><Relationship Id="rId15" Target="media/image4.png" Type="http://schemas.openxmlformats.org/officeDocument/2006/relationships/image" /><Relationship Id="rId14" Target="media/image11.png" Type="http://schemas.openxmlformats.org/officeDocument/2006/relationships/image" /><Relationship Id="rId17" Target="media/image9.png" Type="http://schemas.openxmlformats.org/officeDocument/2006/relationships/image" /><Relationship Id="rId39" Target="media/image18.png" Type="http://schemas.openxmlformats.org/officeDocument/2006/relationships/image" /><Relationship Id="rId16" Target="media/image15.png" Type="http://schemas.openxmlformats.org/officeDocument/2006/relationships/image" /><Relationship Id="rId38" Target="media/image7.png" Type="http://schemas.openxmlformats.org/officeDocument/2006/relationships/image" /><Relationship Id="rId19" Target="media/image25.png" Type="http://schemas.openxmlformats.org/officeDocument/2006/relationships/image" /><Relationship Id="rId18" Target="media/image20.png" Type="http://schemas.openxmlformats.org/officeDocument/2006/relationships/image" /><Relationship Type="http://schemas.openxmlformats.org/officeDocument/2006/relationships/hyperlink" Id="rId94" Target="https://ansperformance.eu/economics/cba/standard-inputs/latest/chapters/amount_of_emissions_released_by_fuel_burn.html" TargetMode="External" /><Relationship Type="http://schemas.openxmlformats.org/officeDocument/2006/relationships/hyperlink" Id="rId96" Target="https://doi.org/10.1007/s11367-024-02293-y" TargetMode="External" /><Relationship Type="http://schemas.openxmlformats.org/officeDocument/2006/relationships/hyperlink" Id="rId89" Target="https://doi.org/10.1080/14693062.2020.1831430" TargetMode="External" /><Relationship Type="http://schemas.openxmlformats.org/officeDocument/2006/relationships/hyperlink" Id="rId95" Target="https://icapcarbonaction.com/en/ets/eu-emissions-trading-system-eu-ets" TargetMode="External" /><Relationship Type="http://schemas.openxmlformats.org/officeDocument/2006/relationships/hyperlink" Id="rId92" Target="https://inldigitallibrary.inl.gov/sites/sti/sti/Sort_66160.pdf" TargetMode="External" /><Relationship Type="http://schemas.openxmlformats.org/officeDocument/2006/relationships/hyperlink" Id="rId99" Target="https://theicct.org/why-saf-is-expected-to-have-a-larger-role-in-near-and-medium-term-decarbonization-than-zero-emission-aircraft-sept25/" TargetMode="External" /><Relationship Type="http://schemas.openxmlformats.org/officeDocument/2006/relationships/hyperlink" Id="rId98" Target="https://www.faa.gov/sites/faa.gov/files/2022-02/phase2_rolls-royce_sustainable_aviation_fuels_final.pdf" TargetMode="External" /><Relationship Type="http://schemas.openxmlformats.org/officeDocument/2006/relationships/hyperlink" Id="rId93" Target="https://www.gen-4.org/gif/upload/docs/application/pdf/2018-12/gifvhtr_safety_assessment_finaldec2018.pdf" TargetMode="External" /><Relationship Type="http://schemas.openxmlformats.org/officeDocument/2006/relationships/hyperlink" Id="rId90" Target="https://www.jaea.go.jp/english/news/press/2024/032801/" TargetMode="External" /><Relationship Type="http://schemas.openxmlformats.org/officeDocument/2006/relationships/hyperlink" Id="rId97" Target="https://www.missionzero.tech/lab-notes/sustainable-co2" TargetMode="External" /><Relationship Type="http://schemas.openxmlformats.org/officeDocument/2006/relationships/hyperlink" Id="rId91" Target="https://www.oecd-nea.org/jcms/pl_25168" TargetMode="External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https://ansperformance.eu/economics/cba/standard-inputs/latest/chapters/amount_of_emissions_released_by_fuel_burn.html" TargetMode="External" /><Relationship Type="http://schemas.openxmlformats.org/officeDocument/2006/relationships/hyperlink" Id="rId96" Target="https://doi.org/10.1007/s11367-024-02293-y" TargetMode="External" /><Relationship Type="http://schemas.openxmlformats.org/officeDocument/2006/relationships/hyperlink" Id="rId89" Target="https://doi.org/10.1080/14693062.2020.1831430" TargetMode="External" /><Relationship Type="http://schemas.openxmlformats.org/officeDocument/2006/relationships/hyperlink" Id="rId95" Target="https://icapcarbonaction.com/en/ets/eu-emissions-trading-system-eu-ets" TargetMode="External" /><Relationship Type="http://schemas.openxmlformats.org/officeDocument/2006/relationships/hyperlink" Id="rId92" Target="https://inldigitallibrary.inl.gov/sites/sti/sti/Sort_66160.pdf" TargetMode="External" /><Relationship Type="http://schemas.openxmlformats.org/officeDocument/2006/relationships/hyperlink" Id="rId99" Target="https://theicct.org/why-saf-is-expected-to-have-a-larger-role-in-near-and-medium-term-decarbonization-than-zero-emission-aircraft-sept25/" TargetMode="External" /><Relationship Type="http://schemas.openxmlformats.org/officeDocument/2006/relationships/hyperlink" Id="rId98" Target="https://www.faa.gov/sites/faa.gov/files/2022-02/phase2_rolls-royce_sustainable_aviation_fuels_final.pdf" TargetMode="External" /><Relationship Type="http://schemas.openxmlformats.org/officeDocument/2006/relationships/hyperlink" Id="rId93" Target="https://www.gen-4.org/gif/upload/docs/application/pdf/2018-12/gifvhtr_safety_assessment_finaldec2018.pdf" TargetMode="External" /><Relationship Type="http://schemas.openxmlformats.org/officeDocument/2006/relationships/hyperlink" Id="rId90" Target="https://www.jaea.go.jp/english/news/press/2024/032801/" TargetMode="External" /><Relationship Type="http://schemas.openxmlformats.org/officeDocument/2006/relationships/hyperlink" Id="rId97" Target="https://www.missionzero.tech/lab-notes/sustainable-co2" TargetMode="External" /><Relationship Type="http://schemas.openxmlformats.org/officeDocument/2006/relationships/hyperlink" Id="rId91" Target="https://www.oecd-nea.org/jcms/pl_2516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2026-03-01T20:35:06Z</dcterms:created>
  <dcterms:modified xsi:type="dcterms:W3CDTF">2026-03-01T20:35:06Z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