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6a47878779fd1700470fe3992fa3a2a097c675"/>
    <w:p>
      <w:pPr>
        <w:pStyle w:val="Heading1"/>
      </w:pPr>
      <w:r>
        <w:t xml:space="preserve">UCL HTGR Group 3 Final Report (Merged Submission Draft)</w:t>
      </w:r>
    </w:p>
    <w:bookmarkStart w:id="9" w:name="team-members"/>
    <w:p>
      <w:pPr>
        <w:pStyle w:val="Heading2"/>
      </w:pPr>
      <w:r>
        <w:t xml:space="preserve">Team Members</w:t>
      </w:r>
    </w:p>
    <w:p>
      <w:pPr>
        <w:pStyle w:val="FirstParagraph"/>
      </w:pPr>
      <w:r>
        <w:t xml:space="preserve">Ariella Morris (TL), Prim Mangkhalathanakun, Stefanos Ioannidis, Adithya Mendis, Mathias Tidball, Eima Miyasaka</w:t>
      </w:r>
    </w:p>
    <w:bookmarkEnd w:id="9"/>
    <w:bookmarkStart w:id="10" w:name="acronyms"/>
    <w:p>
      <w:pPr>
        <w:pStyle w:val="Heading2"/>
      </w:pPr>
      <w:r>
        <w:t xml:space="preserve">Acronyms</w:t>
      </w:r>
    </w:p>
    <w:p>
      <w:pPr>
        <w:pStyle w:val="FirstParagraph"/>
      </w:pPr>
      <w:r>
        <w:t xml:space="preserve">ANS - American Nuclear Society</w:t>
      </w:r>
      <w:r>
        <w:br/>
      </w:r>
      <w:r>
        <w:t xml:space="preserve">DAC - Direct Air Capture</w:t>
      </w:r>
      <w:r>
        <w:br/>
      </w:r>
      <w:r>
        <w:t xml:space="preserve">D-LOFC - Depressurised Loss of Forced Cooling</w:t>
      </w:r>
      <w:r>
        <w:br/>
      </w:r>
      <w:r>
        <w:t xml:space="preserve">DiD - Defence-in-Depth</w:t>
      </w:r>
      <w:r>
        <w:br/>
      </w:r>
      <w:r>
        <w:t xml:space="preserve">HTGR - High Temperature Gas-cooled Reactor</w:t>
      </w:r>
      <w:r>
        <w:br/>
      </w:r>
      <w:r>
        <w:t xml:space="preserve">HTSE - High-Temperature Steam Electrolysis</w:t>
      </w:r>
      <w:r>
        <w:br/>
      </w:r>
      <w:r>
        <w:t xml:space="preserve">HTTR - High Temperature Engineering Test Reactor</w:t>
      </w:r>
      <w:r>
        <w:br/>
      </w:r>
      <w:r>
        <w:t xml:space="preserve">IAEA - International Atomic Energy Agency</w:t>
      </w:r>
      <w:r>
        <w:br/>
      </w:r>
      <w:r>
        <w:t xml:space="preserve">IHX - Intermediate Heat Exchanger</w:t>
      </w:r>
      <w:r>
        <w:br/>
      </w:r>
      <w:r>
        <w:t xml:space="preserve">INSAG - International Nuclear Safety Advisory Group</w:t>
      </w:r>
      <w:r>
        <w:br/>
      </w:r>
      <w:r>
        <w:t xml:space="preserve">JAEA - Japan Atomic Energy Agency</w:t>
      </w:r>
      <w:r>
        <w:br/>
      </w:r>
      <w:r>
        <w:t xml:space="preserve">LOFC - Loss of Forced Cooling</w:t>
      </w:r>
      <w:r>
        <w:br/>
      </w:r>
      <w:r>
        <w:t xml:space="preserve">RCCS - Reactor Cavity Cooling System</w:t>
      </w:r>
      <w:r>
        <w:br/>
      </w:r>
      <w:r>
        <w:t xml:space="preserve">RPV - Reactor Pressure Vessel</w:t>
      </w:r>
      <w:r>
        <w:br/>
      </w:r>
      <w:r>
        <w:t xml:space="preserve">TRISO - Tri-structural Isotropic fuel particle</w:t>
      </w:r>
    </w:p>
    <w:bookmarkEnd w:id="10"/>
    <w:bookmarkStart w:id="11" w:name="X8bb9d984c563c6c3c3e3e5e28ec7c7a9c143a58"/>
    <w:p>
      <w:pPr>
        <w:pStyle w:val="Heading2"/>
      </w:pPr>
      <w:r>
        <w:t xml:space="preserve">Section 1 - Introduction and Project Overview</w:t>
      </w:r>
    </w:p>
    <w:p>
      <w:pPr>
        <w:pStyle w:val="FirstParagraph"/>
      </w:pPr>
      <w:r>
        <w:t xml:space="preserve">The global energy transition presents one of the most significant engineering challenges of our generation. Hard-to-abate sectors such as aviation, shipping, and heavy freight remain difficult to decarbonize through direct electrification alone. Addressing this gap demands clean, energy-dense synthetic fuels produced at scale without dependence on water-intensive cooling or externally constrained process energy.</w:t>
      </w:r>
    </w:p>
    <w:p>
      <w:pPr>
        <w:pStyle w:val="BodyText"/>
      </w:pPr>
      <w:r>
        <w:t xml:space="preserve">This report presents a water-independent, nuclear-enabled Power-to-Liquids architecture in which an HTGR is coupled to a supercritical CO2 recompression Brayton cycle, DAC, HTSE, and methanol synthesis.</w:t>
      </w:r>
    </w:p>
    <w:p>
      <w:pPr>
        <w:pStyle w:val="BodyText"/>
      </w:pPr>
      <w:r>
        <w:t xml:space="preserve">The locked headline case used consistently in this final report is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boundary with</w:t>
      </w:r>
      <w:r>
        <w:t xml:space="preserve"> </w:t>
      </w:r>
      <w:r>
        <w:rPr>
          <w:rStyle w:val="VerbatimChar"/>
        </w:rPr>
        <w:t xml:space="preserve">fuel_factory</w:t>
      </w:r>
      <w:r>
        <w:t xml:space="preserve"> </w:t>
      </w:r>
      <w:r>
        <w:t xml:space="preserve">concept mode. For this validated headline case, the model converges to a feasible plant at 30.0 MWth with 9.628 MWe net output, 32.85% thermal efficiency, 32.09% net efficiency, and 30,364.1 tCO2/year net reduction, corresponding to a primary figure of merit of 1012.1 tCO2/MWth/year.</w:t>
      </w:r>
    </w:p>
    <w:p>
      <w:pPr>
        <w:pStyle w:val="BodyText"/>
      </w:pPr>
      <w:r>
        <w:t xml:space="preserve">This headline value is a project-level avoided-emissions Figure of Merit under a fuel-displacement comparator boundary, not an audited corporate GHG inventory claim. Operational-only accounting and 36 MWth results are retained as sensitivity evidence.</w:t>
      </w:r>
    </w:p>
    <w:p>
      <w:pPr>
        <w:pStyle w:val="BodyText"/>
      </w:pPr>
      <w:r>
        <w:t xml:space="preserve">The report proceeds as follows: concept down-selection and architecture (Sections 2-3), modelling development and V&amp;V (Sections 4-5), results and figures of merit (Section 6), safety philosophy (Section 7), and team lessons and future work (Sections 8-9).</w:t>
      </w:r>
    </w:p>
    <w:bookmarkEnd w:id="11"/>
    <w:bookmarkStart w:id="16" w:name="Xfe269df395326ff4f4e04df74d82b70075495bb"/>
    <w:p>
      <w:pPr>
        <w:pStyle w:val="Heading2"/>
      </w:pPr>
      <w:r>
        <w:t xml:space="preserve">Section 2 - Concept Overview and Down-Selection</w:t>
      </w:r>
    </w:p>
    <w:bookmarkStart w:id="12" w:name="design-objective-and-constraint"/>
    <w:p>
      <w:pPr>
        <w:pStyle w:val="Heading3"/>
      </w:pPr>
      <w:r>
        <w:t xml:space="preserve">2.1 Design Objective and Constraint</w:t>
      </w:r>
    </w:p>
    <w:p>
      <w:pPr>
        <w:pStyle w:val="FirstParagraph"/>
      </w:pPr>
      <w:r>
        <w:t xml:space="preserve">The design objective was to maximize defensible annual CO2 reduction per unit reactor thermal input while preserving engineering feasibility under HTGR team scope and water-independent operation. This made three decisions first-order design variables rather than post-processing choices:</w:t>
      </w:r>
      <w:r>
        <w:t xml:space="preserve"> </w:t>
      </w:r>
      <w:r>
        <w:t xml:space="preserve">1. Process objective mode (</w:t>
      </w:r>
      <w:r>
        <w:rPr>
          <w:rStyle w:val="VerbatimChar"/>
        </w:rPr>
        <w:t xml:space="preserve">dac_max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fuel_factory</w:t>
      </w:r>
      <w:r>
        <w:t xml:space="preserve">).</w:t>
      </w:r>
      <w:r>
        <w:t xml:space="preserve"> </w:t>
      </w:r>
      <w:r>
        <w:t xml:space="preserve">2. CO2 accounting boundary (</w:t>
      </w:r>
      <w:r>
        <w:rPr>
          <w:rStyle w:val="VerbatimChar"/>
        </w:rPr>
        <w:t xml:space="preserve">operational_only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).</w:t>
      </w:r>
      <w:r>
        <w:t xml:space="preserve"> </w:t>
      </w:r>
      <w:r>
        <w:t xml:space="preserve">3. Heat-rejection representation for headline feasibility (</w:t>
      </w:r>
      <w:r>
        <w:rPr>
          <w:rStyle w:val="VerbatimChar"/>
        </w:rPr>
        <w:t xml:space="preserve">fixed_boundary</w:t>
      </w:r>
      <w:r>
        <w:t xml:space="preserve"> </w:t>
      </w:r>
      <w:r>
        <w:t xml:space="preserve">versus coupled-cooler sensitivity).</w:t>
      </w:r>
    </w:p>
    <w:p>
      <w:pPr>
        <w:pStyle w:val="BodyText"/>
      </w:pPr>
      <w:r>
        <w:t xml:space="preserve">To prevent claim drift, scenario roles were locked before final reporting: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- headline claim.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S3_36MW_FUELDISP</w:t>
      </w:r>
      <w:r>
        <w:t xml:space="preserve"> </w:t>
      </w:r>
      <w:r>
        <w:t xml:space="preserve">- power sensitivity.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S0_BASE_30MW_OPONLY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S1_36MW_OPONLY</w:t>
      </w:r>
      <w:r>
        <w:t xml:space="preserve"> </w:t>
      </w:r>
      <w:r>
        <w:t xml:space="preserve">- accounting-boundary sensitivities.</w:t>
      </w:r>
    </w:p>
    <w:bookmarkEnd w:id="12"/>
    <w:bookmarkStart w:id="13" w:name="X219620423bacd3303a8a859126f0ab5e9e66775"/>
    <w:p>
      <w:pPr>
        <w:pStyle w:val="Heading3"/>
      </w:pPr>
      <w:r>
        <w:t xml:space="preserve">2.2 Application Selection (Pugh Matrix Outcome)</w:t>
      </w:r>
    </w:p>
    <w:p>
      <w:pPr>
        <w:pStyle w:val="FirstParagraph"/>
      </w:pPr>
      <w:r>
        <w:t xml:space="preserve">The application down-selection compared electricity export, hydrogen, and e-methanol pathways. E-methanol remained the selected route due to the strongest combined score in carbon impact relevance, logistics practicality, and integrated heat-use potential.</w:t>
      </w:r>
    </w:p>
    <w:p>
      <w:pPr>
        <w:pStyle w:val="BodyText"/>
      </w:pPr>
      <w:r>
        <w:t xml:space="preserve">For Stage-2, this selection was translated into hard model behavior rather than narrative preference: headline scenarios enforce minimum methanol output so the solution cannot collapse to DAC-only allocation while still being presented as a fuel-factory concept.</w:t>
      </w:r>
    </w:p>
    <w:bookmarkEnd w:id="13"/>
    <w:bookmarkStart w:id="14" w:name="X57be5b1b6a4680aac0dc39af56c5e34112f682a"/>
    <w:p>
      <w:pPr>
        <w:pStyle w:val="Heading3"/>
      </w:pPr>
      <w:r>
        <w:t xml:space="preserve">2.3 Carbon Capture and Power-Cycle Selections</w:t>
      </w:r>
    </w:p>
    <w:p>
      <w:pPr>
        <w:pStyle w:val="FirstParagraph"/>
      </w:pPr>
      <w:r>
        <w:t xml:space="preserve">Solid sorbent DAC was retained over high-temperature solvent routes due to compatibility with available low-to-moderate grade heat and modular implementation. Recompression sCO2 Brayton conversion was retained over steam Rankine due to dry-cooling compatibility, compactness, and good fit with HTGR outlet temperature conditions.</w:t>
      </w:r>
    </w:p>
    <w:bookmarkEnd w:id="14"/>
    <w:bookmarkStart w:id="15" w:name="headline-boundary-choice"/>
    <w:p>
      <w:pPr>
        <w:pStyle w:val="Heading3"/>
      </w:pPr>
      <w:r>
        <w:t xml:space="preserve">2.4 Headline Boundary Choice</w:t>
      </w:r>
    </w:p>
    <w:p>
      <w:pPr>
        <w:pStyle w:val="FirstParagraph"/>
      </w:pPr>
      <w:r>
        <w:t xml:space="preserve">Two accounting boundaries are retained in the model, but their report roles are explicit:</w:t>
      </w:r>
      <w:r>
        <w:t xml:space="preserve"> </w:t>
      </w:r>
      <w:r>
        <w:t xml:space="preserve">1. Headline: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S2</w:t>
      </w:r>
      <w:r>
        <w:t xml:space="preserve">).</w:t>
      </w:r>
      <w:r>
        <w:t xml:space="preserve"> </w:t>
      </w:r>
      <w:r>
        <w:t xml:space="preserve">2. Sensitivity:</w:t>
      </w:r>
      <w:r>
        <w:t xml:space="preserve"> </w:t>
      </w:r>
      <w:r>
        <w:rPr>
          <w:rStyle w:val="VerbatimChar"/>
        </w:rPr>
        <w:t xml:space="preserve">operational_only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S0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).</w:t>
      </w:r>
    </w:p>
    <w:p>
      <w:pPr>
        <w:pStyle w:val="BodyText"/>
      </w:pPr>
      <w:r>
        <w:t xml:space="preserve">The headline boundary is chosen to align with the team’s fuel-factory concept. To preserve defensibility, boundary dependence is always presented with scenario tags, assumptions, and uncertainty context.</w:t>
      </w:r>
    </w:p>
    <w:bookmarkEnd w:id="15"/>
    <w:bookmarkEnd w:id="16"/>
    <w:bookmarkStart w:id="20" w:name="Xeeb314631770076aa861564aa79f294663433ec"/>
    <w:p>
      <w:pPr>
        <w:pStyle w:val="Heading2"/>
      </w:pPr>
      <w:r>
        <w:t xml:space="preserve">Section 3 - Integrated System Architecture</w:t>
      </w:r>
    </w:p>
    <w:p>
      <w:pPr>
        <w:pStyle w:val="FirstParagraph"/>
      </w:pPr>
      <w:r>
        <w:t xml:space="preserve">The final architecture is split into three coupled zones:</w:t>
      </w:r>
      <w:r>
        <w:t xml:space="preserve"> </w:t>
      </w:r>
      <w:r>
        <w:t xml:space="preserve">1. Nuclear island: HTGR thermal source with IHX as the physical isolation barrier.</w:t>
      </w:r>
      <w:r>
        <w:t xml:space="preserve"> </w:t>
      </w:r>
      <w:r>
        <w:t xml:space="preserve">2. Power conversion island: recompression sCO2 cycle delivering net electrical output and rejected-heat streams.</w:t>
      </w:r>
      <w:r>
        <w:t xml:space="preserve"> </w:t>
      </w:r>
      <w:r>
        <w:t xml:space="preserve">3. Process island: DAC, HTSE, and methanol synthesis with constrained allocation under no-grid-export headline policy.</w:t>
      </w:r>
    </w:p>
    <w:p>
      <w:pPr>
        <w:pStyle w:val="BodyText"/>
      </w:pPr>
      <w:r>
        <w:t xml:space="preserve">Thermal-cascade logic is retained: high-grade heat supports power conversion, while lower-grade heat supports process duty before final rejection.</w:t>
      </w:r>
    </w:p>
    <w:bookmarkStart w:id="17" w:name="coupled-solution-flow"/>
    <w:p>
      <w:pPr>
        <w:pStyle w:val="Heading3"/>
      </w:pPr>
      <w:r>
        <w:t xml:space="preserve">3.1 Coupled Solution Flow</w:t>
      </w:r>
    </w:p>
    <w:p>
      <w:pPr>
        <w:pStyle w:val="FirstParagraph"/>
      </w:pPr>
      <w:r>
        <w:t xml:space="preserve">The implemented sequence is:</w:t>
      </w:r>
      <w:r>
        <w:t xml:space="preserve"> </w:t>
      </w:r>
      <w:r>
        <w:t xml:space="preserve">1. Solve plant thermodynamic state (cycle + IHX + heat-rejection mode).</w:t>
      </w:r>
      <w:r>
        <w:t xml:space="preserve"> </w:t>
      </w:r>
      <w:r>
        <w:t xml:space="preserve">2. Compute available electrical and thermal resources for process use.</w:t>
      </w:r>
      <w:r>
        <w:t xml:space="preserve"> </w:t>
      </w:r>
      <w:r>
        <w:t xml:space="preserve">3. Solve constrained allocation across DAC, HTSE, and methanol synthesis.</w:t>
      </w:r>
      <w:r>
        <w:t xml:space="preserve"> </w:t>
      </w:r>
      <w:r>
        <w:t xml:space="preserve">4. Compute annual CO2 metrics under selected accounting boundary.</w:t>
      </w:r>
      <w:r>
        <w:t xml:space="preserve"> </w:t>
      </w:r>
      <w:r>
        <w:t xml:space="preserve">5. Apply strict report gates before canonical export.</w:t>
      </w:r>
    </w:p>
    <w:bookmarkEnd w:id="17"/>
    <w:bookmarkStart w:id="18" w:name="governing-constraints"/>
    <w:p>
      <w:pPr>
        <w:pStyle w:val="Heading3"/>
      </w:pPr>
      <w:r>
        <w:t xml:space="preserve">3.2 Governing Constraints</w:t>
      </w:r>
    </w:p>
    <w:p>
      <w:pPr>
        <w:pStyle w:val="FirstParagraph"/>
      </w:pPr>
      <w:r>
        <w:t xml:space="preserve">The final solution is accepted only when all major constraints pass together:</w:t>
      </w:r>
      <w:r>
        <w:t xml:space="preserve"> </w:t>
      </w:r>
      <w:r>
        <w:t xml:space="preserve">1. Convergence and feasibility status are true.</w:t>
      </w:r>
      <w:r>
        <w:t xml:space="preserve"> </w:t>
      </w:r>
      <w:r>
        <w:t xml:space="preserve">2. Plant and cycle closure are within threshold (</w:t>
      </w:r>
      <w:r>
        <w:rPr>
          <w:rStyle w:val="VerbatimChar"/>
        </w:rPr>
        <w:t xml:space="preserve">&lt;= 0.005</w:t>
      </w:r>
      <w:r>
        <w:t xml:space="preserve"> </w:t>
      </w:r>
      <w:r>
        <w:t xml:space="preserve">relative).</w:t>
      </w:r>
      <w:r>
        <w:t xml:space="preserve"> </w:t>
      </w:r>
      <w:r>
        <w:t xml:space="preserve">3. Pinch and thermal margins remain non-violating.</w:t>
      </w:r>
      <w:r>
        <w:t xml:space="preserve"> </w:t>
      </w:r>
      <w:r>
        <w:t xml:space="preserve">4. Allocation power/heat balances close.</w:t>
      </w:r>
      <w:r>
        <w:t xml:space="preserve"> </w:t>
      </w:r>
      <w:r>
        <w:t xml:space="preserve">5. Headline policy checks pass (</w:t>
      </w:r>
      <w:r>
        <w:rPr>
          <w:rStyle w:val="VerbatimChar"/>
        </w:rPr>
        <w:t xml:space="preserve">fuel_factory</w:t>
      </w:r>
      <w:r>
        <w:t xml:space="preserve">, methanol floor active, correct scenario metadata).</w:t>
      </w:r>
    </w:p>
    <w:bookmarkEnd w:id="18"/>
    <w:bookmarkStart w:id="19" w:name="headline-and-sensitivity-policy"/>
    <w:p>
      <w:pPr>
        <w:pStyle w:val="Heading3"/>
      </w:pPr>
      <w:r>
        <w:t xml:space="preserve">3.3 Headline and Sensitivity Policy</w:t>
      </w:r>
    </w:p>
    <w:p>
      <w:pPr>
        <w:pStyle w:val="FirstParagraph"/>
      </w:pPr>
      <w:r>
        <w:t xml:space="preserve">For report consistency: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is the sole headline scenario.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is scalability sensitivity.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S0</w:t>
      </w:r>
      <w:r>
        <w:t xml:space="preserve">/</w:t>
      </w:r>
      <w:r>
        <w:rPr>
          <w:rStyle w:val="VerbatimChar"/>
        </w:rPr>
        <w:t xml:space="preserve">S1</w:t>
      </w:r>
      <w:r>
        <w:t xml:space="preserve"> </w:t>
      </w:r>
      <w:r>
        <w:t xml:space="preserve">quantify accounting-boundary sensitivity.</w:t>
      </w:r>
    </w:p>
    <w:p>
      <w:pPr>
        <w:pStyle w:val="BodyText"/>
      </w:pPr>
      <w:r>
        <w:t xml:space="preserve">This structure keeps a singular headline FoM while still showing feasibility and interpretation sensitivity around boundary assumptions.</w:t>
      </w:r>
    </w:p>
    <w:bookmarkEnd w:id="19"/>
    <w:bookmarkEnd w:id="20"/>
    <w:bookmarkStart w:id="24" w:name="Xcc1436c6f4d19b4f311addad4de775484ae675d"/>
    <w:p>
      <w:pPr>
        <w:pStyle w:val="Heading2"/>
      </w:pPr>
      <w:r>
        <w:t xml:space="preserve">Section 4 - Modelling Development and Methodology</w:t>
      </w:r>
    </w:p>
    <w:bookmarkStart w:id="21" w:name="modelling-philosophy-and-fidelity"/>
    <w:p>
      <w:pPr>
        <w:pStyle w:val="Heading3"/>
      </w:pPr>
      <w:r>
        <w:t xml:space="preserve">4.1 Modelling Philosophy and Fidelity</w:t>
      </w:r>
    </w:p>
    <w:p>
      <w:pPr>
        <w:pStyle w:val="FirstParagraph"/>
      </w:pPr>
      <w:r>
        <w:t xml:space="preserve">The modelling approach prioritizes thermodynamic and allocation consistency across subsystems rather than isolated component optimisation. Real-gas properties are evaluated with CoolProp to capture near-critical CO2 behavior where idealized assumptions are unreliable.</w:t>
      </w:r>
    </w:p>
    <w:bookmarkEnd w:id="21"/>
    <w:bookmarkStart w:id="22" w:name="coupled-solver-and-feasibility-logic"/>
    <w:p>
      <w:pPr>
        <w:pStyle w:val="Heading3"/>
      </w:pPr>
      <w:r>
        <w:t xml:space="preserve">4.2 Coupled Solver and Feasibility Logic</w:t>
      </w:r>
    </w:p>
    <w:p>
      <w:pPr>
        <w:pStyle w:val="FirstParagraph"/>
      </w:pPr>
      <w:r>
        <w:t xml:space="preserve">The plant solve uses deterministic bounded operating-point search, moderate recovery tuning for infeasible starts, per-iteration diagnostics, and fail-fast gating for infeasible headline states. Feasibility constraints are checked during solve progression.</w:t>
      </w:r>
    </w:p>
    <w:p>
      <w:pPr>
        <w:pStyle w:val="BodyText"/>
      </w:pPr>
      <w:r>
        <w:t xml:space="preserve">Final acceptance requires simultaneous convergence, feasibility, policy consistency, and closure compliance. All gates are exported as machine-readable audit artifacts.</w:t>
      </w:r>
    </w:p>
    <w:bookmarkEnd w:id="22"/>
    <w:bookmarkStart w:id="23" w:name="co2-accounting-methodology"/>
    <w:p>
      <w:pPr>
        <w:pStyle w:val="Heading3"/>
      </w:pPr>
      <w:r>
        <w:t xml:space="preserve">4.3 CO2 Accounting Methodology</w:t>
      </w:r>
    </w:p>
    <w:p>
      <w:pPr>
        <w:pStyle w:val="FirstParagraph"/>
      </w:pPr>
      <w:r>
        <w:t xml:space="preserve">Two accounting boundaries are implemented and explicitly tagged: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operational_only</w:t>
      </w:r>
      <w:r>
        <w:t xml:space="preserve">: onsite operational/process basis.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: project-level avoided-emissions comparator basis.</w:t>
      </w:r>
    </w:p>
    <w:p>
      <w:pPr>
        <w:pStyle w:val="BodyText"/>
      </w:pPr>
      <w:r>
        <w:t xml:space="preserve">Headline policy in this report:</w:t>
      </w:r>
      <w:r>
        <w:t xml:space="preserve"> </w:t>
      </w:r>
      <w:r>
        <w:t xml:space="preserve">1. Headline scenario: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.</w:t>
      </w:r>
      <w:r>
        <w:t xml:space="preserve"> </w:t>
      </w:r>
      <w:r>
        <w:t xml:space="preserve">2. Headline boundary:</w:t>
      </w:r>
      <w:r>
        <w:t xml:space="preserve"> </w:t>
      </w:r>
      <w:r>
        <w:rPr>
          <w:rStyle w:val="VerbatimChar"/>
        </w:rPr>
        <w:t xml:space="preserve">fuel_displacement</w:t>
      </w:r>
      <w:r>
        <w:t xml:space="preserve">.</w:t>
      </w:r>
      <w:r>
        <w:t xml:space="preserve"> </w:t>
      </w:r>
      <w:r>
        <w:t xml:space="preserve">3. Sensitivity boundaries:</w:t>
      </w:r>
      <w:r>
        <w:t xml:space="preserve"> </w:t>
      </w:r>
      <w:r>
        <w:rPr>
          <w:rStyle w:val="VerbatimChar"/>
        </w:rPr>
        <w:t xml:space="preserve">S0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operational-only and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power sensitivity.</w:t>
      </w:r>
    </w:p>
    <w:p>
      <w:pPr>
        <w:pStyle w:val="BodyText"/>
      </w:pPr>
      <w:r>
        <w:t xml:space="preserve">Main-text headline equation:</w:t>
      </w:r>
      <w:r>
        <w:t xml:space="preserve"> </w:t>
      </w:r>
      <w:r>
        <w:rPr>
          <w:rStyle w:val="VerbatimChar"/>
        </w:rPr>
        <w:t xml:space="preserve">Net_CO2_fuel_displacement = CO2_displaced_fossil + CO2_grid - CO2_embodied - CO2_reemitted_synthetic(if neutrality disabled)</w:t>
      </w:r>
    </w:p>
    <w:p>
      <w:pPr>
        <w:pStyle w:val="BodyText"/>
      </w:pPr>
      <w:r>
        <w:t xml:space="preserve">In the locked headline configuration, grid export is zero and neutrality is enabled.</w:t>
      </w:r>
    </w:p>
    <w:p>
      <w:pPr>
        <w:pStyle w:val="BodyText"/>
      </w:pPr>
      <w:r>
        <w:t xml:space="preserve">Key assumptions are explicitly recorded in canonical outputs, including fuel EF, displacement factor, methanol floor, closure tolerance, and boundary statement policy.</w:t>
      </w:r>
    </w:p>
    <w:bookmarkEnd w:id="23"/>
    <w:bookmarkEnd w:id="24"/>
    <w:bookmarkStart w:id="28" w:name="section-5---verification-and-validation"/>
    <w:p>
      <w:pPr>
        <w:pStyle w:val="Heading2"/>
      </w:pPr>
      <w:r>
        <w:t xml:space="preserve">Section 5 - Verification and Validation</w:t>
      </w:r>
    </w:p>
    <w:bookmarkStart w:id="25" w:name="verification"/>
    <w:p>
      <w:pPr>
        <w:pStyle w:val="Heading3"/>
      </w:pPr>
      <w:r>
        <w:t xml:space="preserve">5.1 Verification</w:t>
      </w:r>
    </w:p>
    <w:p>
      <w:pPr>
        <w:pStyle w:val="FirstParagraph"/>
      </w:pPr>
      <w:r>
        <w:t xml:space="preserve">Verification focused on implementation correctness and control-flow integrity:</w:t>
      </w:r>
      <w:r>
        <w:t xml:space="preserve"> </w:t>
      </w:r>
      <w:r>
        <w:t xml:space="preserve">1. deterministic scenario behavior and reproducibility,</w:t>
      </w:r>
      <w:r>
        <w:t xml:space="preserve"> </w:t>
      </w:r>
      <w:r>
        <w:t xml:space="preserve">2. feasibility and metadata propagation,</w:t>
      </w:r>
      <w:r>
        <w:t xml:space="preserve"> </w:t>
      </w:r>
      <w:r>
        <w:t xml:space="preserve">3. fail-fast and override pathway control,</w:t>
      </w:r>
      <w:r>
        <w:t xml:space="preserve"> </w:t>
      </w:r>
      <w:r>
        <w:t xml:space="preserve">4. scenario-tagged JSON diagnostics for traceability.</w:t>
      </w:r>
    </w:p>
    <w:bookmarkEnd w:id="25"/>
    <w:bookmarkStart w:id="26" w:name="validation-anchors"/>
    <w:p>
      <w:pPr>
        <w:pStyle w:val="Heading3"/>
      </w:pPr>
      <w:r>
        <w:t xml:space="preserve">5.2 Validation Anchors</w:t>
      </w:r>
    </w:p>
    <w:p>
      <w:pPr>
        <w:pStyle w:val="FirstParagraph"/>
      </w:pPr>
      <w:r>
        <w:t xml:space="preserve">Validation evidence includes more than a single benchmark:</w:t>
      </w:r>
      <w:r>
        <w:t xml:space="preserve"> </w:t>
      </w:r>
      <w:r>
        <w:t xml:space="preserve">1. Dostal-style cycle anchor: model thermal efficiency 41.10% versus 45.0% +/- 5.0% acceptance, pass.</w:t>
      </w:r>
      <w:r>
        <w:t xml:space="preserve"> </w:t>
      </w:r>
      <w:r>
        <w:t xml:space="preserve">2. Secondary cycle anchor: model efficiency 40.35% within accepted [30%, 55%] band, pass.</w:t>
      </w:r>
      <w:r>
        <w:t xml:space="preserve"> </w:t>
      </w:r>
      <w:r>
        <w:t xml:space="preserve">3. Process analytic closure checks (DAC intensity, HTSE intensity, methanol stoichiometry), all pass.</w:t>
      </w:r>
      <w:r>
        <w:t xml:space="preserve"> </w:t>
      </w:r>
      <w:r>
        <w:t xml:space="preserve">4. Boundary-consistency check from identical plant state, pass.</w:t>
      </w:r>
    </w:p>
    <w:bookmarkEnd w:id="26"/>
    <w:bookmarkStart w:id="27" w:name="feasibility-and-gate-evidence"/>
    <w:p>
      <w:pPr>
        <w:pStyle w:val="Heading3"/>
      </w:pPr>
      <w:r>
        <w:t xml:space="preserve">5.3 Feasibility and Gate Evidence</w:t>
      </w:r>
    </w:p>
    <w:p>
      <w:pPr>
        <w:pStyle w:val="FirstParagraph"/>
      </w:pPr>
      <w:r>
        <w:t xml:space="preserve">The final authoritative run demonstrates:</w:t>
      </w:r>
      <w:r>
        <w:t xml:space="preserve"> </w:t>
      </w:r>
      <w:r>
        <w:t xml:space="preserve">1. headline scenario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converged and feasible,</w:t>
      </w:r>
      <w:r>
        <w:t xml:space="preserve"> </w:t>
      </w:r>
      <w:r>
        <w:t xml:space="preserve">2. plant and cycle closure thresholds passed,</w:t>
      </w:r>
      <w:r>
        <w:t xml:space="preserve"> </w:t>
      </w:r>
      <w:r>
        <w:t xml:space="preserve">3. objective consistency and methanol-floor policy checks passed,</w:t>
      </w:r>
      <w:r>
        <w:t xml:space="preserve"> </w:t>
      </w:r>
      <w:r>
        <w:t xml:space="preserve">4. all canonical scenarios (</w:t>
      </w:r>
      <w:r>
        <w:rPr>
          <w:rStyle w:val="VerbatimChar"/>
        </w:rPr>
        <w:t xml:space="preserve">S0-S3</w:t>
      </w:r>
      <w:r>
        <w:t xml:space="preserve">) converged and feasible under required gates.</w:t>
      </w:r>
    </w:p>
    <w:bookmarkEnd w:id="27"/>
    <w:bookmarkEnd w:id="28"/>
    <w:bookmarkStart w:id="32" w:name="section-6---results-and-figures-of-merit"/>
    <w:p>
      <w:pPr>
        <w:pStyle w:val="Heading2"/>
      </w:pPr>
      <w:r>
        <w:t xml:space="preserve">Section 6 - Results and Figures of Merit</w:t>
      </w:r>
    </w:p>
    <w:bookmarkStart w:id="29" w:name="Xd1e6ffc12c48794c42e374aaf58e5ff0462236c"/>
    <w:p>
      <w:pPr>
        <w:pStyle w:val="Heading3"/>
      </w:pPr>
      <w:r>
        <w:t xml:space="preserve">6.1 Plant Performance Summary (Headline: S2_30MW_FUELDISP)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thermal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 MWth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electrical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9.628 MWe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efficiency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efficiency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 energy 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mass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162.5 kg/s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Compressor inlet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Turbine inlet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520.0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HTR pinch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+0.98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IHX pinch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+13.37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LTR pinch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+3.02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Helium return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+0.92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Feasible / Converged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 / True</w:t>
            </w:r>
          </w:p>
        </w:tc>
      </w:tr>
    </w:tbl>
    <w:bookmarkEnd w:id="29"/>
    <w:bookmarkStart w:id="30" w:name="primary-figure-of-merit-headline"/>
    <w:p>
      <w:pPr>
        <w:pStyle w:val="Heading3"/>
      </w:pPr>
      <w:r>
        <w:t xml:space="preserve">6.2 Primary Figure of Merit (Headline)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CO2 reduction (fuel_displacement headline)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30,364.1 tCO2/year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FoM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1012.1 tCO2/MWth/year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capture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15,192.4 tCO2/year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Hydrogen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1,924.4 t/year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Methanol 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9,955.4 t/year</w:t>
            </w:r>
          </w:p>
        </w:tc>
      </w:tr>
    </w:tbl>
    <w:p>
      <w:pPr>
        <w:pStyle w:val="BodyText"/>
      </w:pPr>
      <w:r>
        <w:t xml:space="preserve">Uncertainty context for headline FoM (seeded UQ, 40 samples):</w:t>
      </w:r>
      <w:r>
        <w:t xml:space="preserve"> </w:t>
      </w:r>
      <w:r>
        <w:t xml:space="preserve">1. Mean: 1004.9 tCO2/MWth/year.</w:t>
      </w:r>
      <w:r>
        <w:t xml:space="preserve"> </w:t>
      </w:r>
      <w:r>
        <w:t xml:space="preserve">2. P10/P50/P90: 892.2 / 1007.9 / 1220.1.</w:t>
      </w:r>
      <w:r>
        <w:t xml:space="preserve"> </w:t>
      </w:r>
      <w:r>
        <w:t xml:space="preserve">3. 95% interval: 690.2 to 1238.5 tCO2/MWth/year.</w:t>
      </w:r>
    </w:p>
    <w:bookmarkEnd w:id="30"/>
    <w:bookmarkStart w:id="31" w:name="Xe51bb611f7b93456b110ab12e0b78bb5a3effa9"/>
    <w:p>
      <w:pPr>
        <w:pStyle w:val="Heading3"/>
      </w:pPr>
      <w:r>
        <w:t xml:space="preserve">6.3 Secondary Figures of Merit (All Feasible and Converged)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Power (MWe)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FoM (tCO2/MWth/year)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S2_30MW_FUELDISP</w:t>
            </w:r>
          </w:p>
        </w:tc>
        <w:tc>
          <w:tcPr/>
          <w:p>
            <w:pPr>
              <w:pStyle w:val="Compact"/>
            </w:pPr>
            <w:r>
              <w:t xml:space="preserve">30 MWth, fuel_displacement (headline)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S3_36MW_FUELDISP</w:t>
            </w:r>
          </w:p>
        </w:tc>
        <w:tc>
          <w:tcPr/>
          <w:p>
            <w:pPr>
              <w:pStyle w:val="Compact"/>
            </w:pPr>
            <w:r>
              <w:t xml:space="preserve">36 MWth, fuel_displacement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S0_BASE_30MW_OPONLY</w:t>
            </w:r>
          </w:p>
        </w:tc>
        <w:tc>
          <w:tcPr/>
          <w:p>
            <w:pPr>
              <w:pStyle w:val="Compact"/>
            </w:pPr>
            <w:r>
              <w:t xml:space="preserve">30 MWth, operational_only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S1_36MW_OPONLY</w:t>
            </w:r>
          </w:p>
        </w:tc>
        <w:tc>
          <w:tcPr/>
          <w:p>
            <w:pPr>
              <w:pStyle w:val="Compact"/>
            </w:pPr>
            <w:r>
              <w:t xml:space="preserve">36 MWth, operational_only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3025.6</w:t>
            </w:r>
          </w:p>
        </w:tc>
      </w:tr>
    </w:tbl>
    <w:p>
      <w:pPr>
        <w:pStyle w:val="BodyText"/>
      </w:pPr>
      <w:r>
        <w:t xml:space="preserve">Secondary conclusions:</w:t>
      </w:r>
      <w:r>
        <w:t xml:space="preserve"> </w:t>
      </w:r>
      <w:r>
        <w:t xml:space="preserve">1. Feasibility is maintained across all canonical scenarios.</w:t>
      </w:r>
      <w:r>
        <w:t xml:space="preserve"> </w:t>
      </w:r>
      <w:r>
        <w:t xml:space="preserve">2. 36 MWth values are sensitivity context only.</w:t>
      </w:r>
      <w:r>
        <w:t xml:space="preserve"> </w:t>
      </w:r>
      <w:r>
        <w:t xml:space="preserve">3. Boundary mode strongly affects FoM magnitude and interpretation, so scenario tags and boundary labels are required for all reported values.</w:t>
      </w:r>
    </w:p>
    <w:bookmarkEnd w:id="31"/>
    <w:bookmarkEnd w:id="32"/>
    <w:bookmarkStart w:id="37" w:name="section-7---safety-philosophy"/>
    <w:p>
      <w:pPr>
        <w:pStyle w:val="Heading2"/>
      </w:pPr>
      <w:r>
        <w:t xml:space="preserve">Section 7 - Safety Philosophy</w:t>
      </w:r>
    </w:p>
    <w:p>
      <w:pPr>
        <w:pStyle w:val="FirstParagraph"/>
      </w:pPr>
      <w:r>
        <w:t xml:space="preserve">Safety is integral to our HTGR design. The architecture follows IAEA Defence-in-Depth and relies on inherent reactor physics, robust fuel containment, and passive cooling. Quantitative transient values in Section 7.4 are presented as external-workstream evidence with source provenance; they are not direct outputs of the integrated plant solver used for Sections 2-6.</w:t>
      </w:r>
    </w:p>
    <w:bookmarkStart w:id="33" w:name="defence-in-depth-framework"/>
    <w:p>
      <w:pPr>
        <w:pStyle w:val="Heading3"/>
      </w:pPr>
      <w:r>
        <w:t xml:space="preserve">7.1 Defence-in-Depth Framework</w:t>
      </w:r>
    </w:p>
    <w:p>
      <w:pPr>
        <w:pStyle w:val="FirstParagraph"/>
      </w:pPr>
      <w:r>
        <w:t xml:space="preserve">The safety philosophy is structured around IAEA INSAG-10 Defence-in-Depth across five levels: prevention, detection/control, engineered safety systems, accident management, and emergency response. Multiple barriers must fail simultaneously before release can occur.</w:t>
      </w:r>
    </w:p>
    <w:bookmarkEnd w:id="33"/>
    <w:bookmarkStart w:id="34" w:name="inherent-safety-characteristics"/>
    <w:p>
      <w:pPr>
        <w:pStyle w:val="Heading3"/>
      </w:pPr>
      <w:r>
        <w:t xml:space="preserve">7.2 Inherent Safety Characteristics</w:t>
      </w:r>
    </w:p>
    <w:p>
      <w:pPr>
        <w:pStyle w:val="FirstParagraph"/>
      </w:pPr>
      <w:r>
        <w:t xml:space="preserve">Two mechanisms anchor the safety case:</w:t>
      </w:r>
      <w:r>
        <w:t xml:space="preserve"> </w:t>
      </w:r>
      <w:r>
        <w:t xml:space="preserve">1. negative temperature coefficient of reactivity, causing self-limiting power response,</w:t>
      </w:r>
      <w:r>
        <w:t xml:space="preserve"> </w:t>
      </w:r>
      <w:r>
        <w:t xml:space="preserve">2. large graphite-core thermal inertia, slowing transient evolution.</w:t>
      </w:r>
    </w:p>
    <w:p>
      <w:pPr>
        <w:pStyle w:val="BodyText"/>
      </w:pPr>
      <w:r>
        <w:t xml:space="preserve">Both are consistent with HTGR/HTTR evidence cited in Section 7 references.</w:t>
      </w:r>
    </w:p>
    <w:bookmarkEnd w:id="34"/>
    <w:bookmarkStart w:id="35" w:name="triso-fuel-and-passive-cooling"/>
    <w:p>
      <w:pPr>
        <w:pStyle w:val="Heading3"/>
      </w:pPr>
      <w:r>
        <w:t xml:space="preserve">7.3 TRISO Fuel and Passive Cooling</w:t>
      </w:r>
    </w:p>
    <w:p>
      <w:pPr>
        <w:pStyle w:val="FirstParagraph"/>
      </w:pPr>
      <w:r>
        <w:t xml:space="preserve">TRISO fuel barriers and passive RCCS heat removal are central to the safety philosophy and support the project’s water-independent heat rejection requirement.</w:t>
      </w:r>
    </w:p>
    <w:bookmarkEnd w:id="35"/>
    <w:bookmarkStart w:id="36" w:name="Xbf154ad887539ce3938b23ecc8b05c6760c8892"/>
    <w:p>
      <w:pPr>
        <w:pStyle w:val="Heading3"/>
      </w:pPr>
      <w:r>
        <w:t xml:space="preserve">7.4 Safety Transient Analyses (External Workstream Evidence)</w:t>
      </w:r>
    </w:p>
    <w:p>
      <w:pPr>
        <w:pStyle w:val="FirstParagraph"/>
      </w:pPr>
      <w:r>
        <w:t xml:space="preserve">Three Python-based transient models were developed in the safety workstream:</w:t>
      </w:r>
      <w:r>
        <w:t xml:space="preserve"> </w:t>
      </w:r>
      <w:r>
        <w:t xml:space="preserve">1. pressurised LOFC bounding case,</w:t>
      </w:r>
      <w:r>
        <w:t xml:space="preserve"> </w:t>
      </w:r>
      <w:r>
        <w:t xml:space="preserve">2. depressurised LOFC case,</w:t>
      </w:r>
      <w:r>
        <w:t xml:space="preserve"> </w:t>
      </w:r>
      <w:r>
        <w:t xml:space="preserve">3. natural-circulation sensitivity case.</w:t>
      </w:r>
    </w:p>
    <w:p>
      <w:pPr>
        <w:pStyle w:val="BodyText"/>
      </w:pPr>
      <w:r>
        <w:t xml:space="preserve">Reported values and figures are provenance-labeled and should be interpreted as safety-workstream evidence rather than integrated solver output.</w:t>
      </w:r>
    </w:p>
    <w:bookmarkEnd w:id="36"/>
    <w:bookmarkEnd w:id="37"/>
    <w:bookmarkStart w:id="41" w:name="X8b4d2ddd187282510aa2a01c040a9fcbe9dc8f3"/>
    <w:p>
      <w:pPr>
        <w:pStyle w:val="Heading2"/>
      </w:pPr>
      <w:r>
        <w:t xml:space="preserve">Section 8 - Challenges, Lessons Learned, and Team Structure</w:t>
      </w:r>
    </w:p>
    <w:bookmarkStart w:id="38" w:name="professional-challenges"/>
    <w:p>
      <w:pPr>
        <w:pStyle w:val="Heading3"/>
      </w:pPr>
      <w:r>
        <w:t xml:space="preserve">8.1 Professional Challenges</w:t>
      </w:r>
    </w:p>
    <w:p>
      <w:pPr>
        <w:pStyle w:val="FirstParagraph"/>
      </w:pPr>
      <w:r>
        <w:t xml:space="preserve">A principal challenge was coordinating multidisciplinary workstreams (reactor physics, thermodynamics, process modeling, and carbon accounting) without assumption drift. The team response included a versioned assumptions log and clear workstream ownership to maintain traceability and consistency.</w:t>
      </w:r>
    </w:p>
    <w:bookmarkEnd w:id="38"/>
    <w:bookmarkStart w:id="39" w:name="technical-challenges"/>
    <w:p>
      <w:pPr>
        <w:pStyle w:val="Heading3"/>
      </w:pPr>
      <w:r>
        <w:t xml:space="preserve">8.2 Technical Challenges</w:t>
      </w:r>
    </w:p>
    <w:p>
      <w:pPr>
        <w:pStyle w:val="FirstParagraph"/>
      </w:pPr>
      <w:r>
        <w:t xml:space="preserve">The key technical challenge was nonlinear behavior near the CO2 critical region and propagation of coupling errors through the heat-exchanger network. The mitigation strategy was modular verification, staged integration, and strict feasibility/closure gating in the coupled workflow.</w:t>
      </w:r>
    </w:p>
    <w:bookmarkEnd w:id="39"/>
    <w:bookmarkStart w:id="40" w:name="team-structure"/>
    <w:p>
      <w:pPr>
        <w:pStyle w:val="Heading3"/>
      </w:pPr>
      <w:r>
        <w:t xml:space="preserve">8.3 Team Structure</w:t>
      </w:r>
    </w:p>
    <w:p>
      <w:pPr>
        <w:pStyle w:val="FirstParagraph"/>
      </w:pPr>
      <w:r>
        <w:t xml:space="preserve">The team maintained defined workstream ownership with regular synchronization and shared evidence artifacts. This structure reduced duplication and improved consistency across model development, reporting, and safety narrative integration.</w:t>
      </w:r>
    </w:p>
    <w:bookmarkEnd w:id="40"/>
    <w:bookmarkEnd w:id="41"/>
    <w:bookmarkStart w:id="44" w:name="section-9---novelty-and-future-work"/>
    <w:p>
      <w:pPr>
        <w:pStyle w:val="Heading2"/>
      </w:pPr>
      <w:r>
        <w:t xml:space="preserve">Section 9 - Novelty and Future Work</w:t>
      </w:r>
    </w:p>
    <w:bookmarkStart w:id="42" w:name="novelty"/>
    <w:p>
      <w:pPr>
        <w:pStyle w:val="Heading3"/>
      </w:pPr>
      <w:r>
        <w:t xml:space="preserve">9.1 Novelty</w:t>
      </w:r>
    </w:p>
    <w:p>
      <w:pPr>
        <w:pStyle w:val="FirstParagraph"/>
      </w:pPr>
      <w:r>
        <w:t xml:space="preserve">The primary novelty is integrated use of heat quality across generation and process pathways with explicit feasibility gating and scenario-tagged FoMs. The approach converts rejected heat from a pure penalty into a constrained process resource.</w:t>
      </w:r>
    </w:p>
    <w:bookmarkEnd w:id="42"/>
    <w:bookmarkStart w:id="43" w:name="future-work"/>
    <w:p>
      <w:pPr>
        <w:pStyle w:val="Heading3"/>
      </w:pPr>
      <w:r>
        <w:t xml:space="preserve">9.2 Future Work</w:t>
      </w:r>
    </w:p>
    <w:p>
      <w:pPr>
        <w:pStyle w:val="FirstParagraph"/>
      </w:pPr>
      <w:r>
        <w:t xml:space="preserve">Priority next steps:</w:t>
      </w:r>
      <w:r>
        <w:t xml:space="preserve"> </w:t>
      </w:r>
      <w:r>
        <w:t xml:space="preserve">1. integrate additional validation anchors and broader external benchmark comparisons,</w:t>
      </w:r>
      <w:r>
        <w:t xml:space="preserve"> </w:t>
      </w:r>
      <w:r>
        <w:t xml:space="preserve">2. expand uncertainty campaign beyond current submission baseline,</w:t>
      </w:r>
      <w:r>
        <w:t xml:space="preserve"> </w:t>
      </w:r>
      <w:r>
        <w:t xml:space="preserve">3. progress from boundary-level reactor representation toward higher-fidelity reactor-side coupling,</w:t>
      </w:r>
      <w:r>
        <w:t xml:space="preserve"> </w:t>
      </w:r>
      <w:r>
        <w:t xml:space="preserve">4. continue maturing coupled cooling sensitivity capability for appendix-level evidence.</w:t>
      </w:r>
    </w:p>
    <w:bookmarkEnd w:id="43"/>
    <w:bookmarkEnd w:id="44"/>
    <w:bookmarkStart w:id="45" w:name="Xb1723ff1399b8265b6f5fc1b051c0c9bdba6705"/>
    <w:p>
      <w:pPr>
        <w:pStyle w:val="Heading2"/>
      </w:pPr>
      <w:r>
        <w:t xml:space="preserve">Assumptions and Limitations (Main-Body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Current treatment</w:t>
            </w:r>
          </w:p>
        </w:tc>
        <w:tc>
          <w:tcPr/>
          <w:p>
            <w:pPr>
              <w:pStyle w:val="Compact"/>
            </w:pPr>
            <w:r>
              <w:t xml:space="preserve">Why acceptable now</w:t>
            </w:r>
          </w:p>
        </w:tc>
        <w:tc>
          <w:tcPr/>
          <w:p>
            <w:pPr>
              <w:pStyle w:val="Compact"/>
            </w:pPr>
            <w:r>
              <w:t xml:space="preserve">Next-step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accounting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fuel_displacement</w:t>
            </w:r>
            <w:r>
              <w:t xml:space="preserve"> </w:t>
            </w:r>
            <w:r>
              <w:t xml:space="preserve">project FoM</w:t>
            </w:r>
          </w:p>
        </w:tc>
        <w:tc>
          <w:tcPr/>
          <w:p>
            <w:pPr>
              <w:pStyle w:val="Compact"/>
            </w:pPr>
            <w:r>
              <w:t xml:space="preserve">Aligns with fuel-factory concept and is explicitly labeled</w:t>
            </w:r>
          </w:p>
        </w:tc>
        <w:tc>
          <w:tcPr/>
          <w:p>
            <w:pPr>
              <w:pStyle w:val="Compact"/>
            </w:pPr>
            <w:r>
              <w:t xml:space="preserve">Add RR-specified boundary preference if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representation in headline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fixed_boundary</w:t>
            </w:r>
          </w:p>
        </w:tc>
        <w:tc>
          <w:tcPr/>
          <w:p>
            <w:pPr>
              <w:pStyle w:val="Compact"/>
            </w:pPr>
            <w:r>
              <w:t xml:space="preserve">HTGR-only scope, thermodynamic closure maintained</w:t>
            </w:r>
          </w:p>
        </w:tc>
        <w:tc>
          <w:tcPr/>
          <w:p>
            <w:pPr>
              <w:pStyle w:val="Compact"/>
            </w:pPr>
            <w:r>
              <w:t xml:space="preserve">Improve coupled cooling fidelity in sensitivity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Reactor-side fidelity</w:t>
            </w:r>
          </w:p>
        </w:tc>
        <w:tc>
          <w:tcPr/>
          <w:p>
            <w:pPr>
              <w:pStyle w:val="Compact"/>
            </w:pPr>
            <w:r>
              <w:t xml:space="preserve">Boundary-condition thermal source</w:t>
            </w:r>
          </w:p>
        </w:tc>
        <w:tc>
          <w:tcPr/>
          <w:p>
            <w:pPr>
              <w:pStyle w:val="Compact"/>
            </w:pPr>
            <w:r>
              <w:t xml:space="preserve">Appropriate for this cycle scope</w:t>
            </w:r>
          </w:p>
        </w:tc>
        <w:tc>
          <w:tcPr/>
          <w:p>
            <w:pPr>
              <w:pStyle w:val="Compact"/>
            </w:pPr>
            <w:r>
              <w:t xml:space="preserve">Add higher-fidelity reactor-side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UQ depth</w:t>
            </w:r>
          </w:p>
        </w:tc>
        <w:tc>
          <w:tcPr/>
          <w:p>
            <w:pPr>
              <w:pStyle w:val="Compact"/>
            </w:pPr>
            <w:r>
              <w:t xml:space="preserve">Seeded 40-sample campaign</w:t>
            </w:r>
          </w:p>
        </w:tc>
        <w:tc>
          <w:tcPr/>
          <w:p>
            <w:pPr>
              <w:pStyle w:val="Compact"/>
            </w:pPr>
            <w:r>
              <w:t xml:space="preserve">Reproducible and schedule-compatible</w:t>
            </w:r>
          </w:p>
        </w:tc>
        <w:tc>
          <w:tcPr/>
          <w:p>
            <w:pPr>
              <w:pStyle w:val="Compact"/>
            </w:pPr>
            <w:r>
              <w:t xml:space="preserve">Expand sample size and input uncertainty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integration</w:t>
            </w:r>
          </w:p>
        </w:tc>
        <w:tc>
          <w:tcPr/>
          <w:p>
            <w:pPr>
              <w:pStyle w:val="Compact"/>
            </w:pPr>
            <w:r>
              <w:t xml:space="preserve">External workstream evidence</w:t>
            </w:r>
          </w:p>
        </w:tc>
        <w:tc>
          <w:tcPr/>
          <w:p>
            <w:pPr>
              <w:pStyle w:val="Compact"/>
            </w:pPr>
            <w:r>
              <w:t xml:space="preserve">Preserves traceability and avoids overclaiming integration</w:t>
            </w:r>
          </w:p>
        </w:tc>
        <w:tc>
          <w:tcPr/>
          <w:p>
            <w:pPr>
              <w:pStyle w:val="Compact"/>
            </w:pPr>
            <w:r>
              <w:t xml:space="preserve">Add tighter coupling path in future stage</w:t>
            </w:r>
          </w:p>
        </w:tc>
      </w:tr>
    </w:tbl>
    <w:bookmarkEnd w:id="45"/>
    <w:bookmarkStart w:id="48" w:name="references"/>
    <w:p>
      <w:pPr>
        <w:pStyle w:val="Heading2"/>
      </w:pPr>
      <w:r>
        <w:t xml:space="preserve">References</w:t>
      </w:r>
    </w:p>
    <w:bookmarkStart w:id="46" w:name="core-project-and-methodology-references"/>
    <w:p>
      <w:pPr>
        <w:pStyle w:val="Heading3"/>
      </w:pPr>
      <w:r>
        <w:t xml:space="preserve">Core project and methodology references</w:t>
      </w:r>
    </w:p>
    <w:p>
      <w:pPr>
        <w:pStyle w:val="Compact"/>
        <w:numPr>
          <w:ilvl w:val="0"/>
          <w:numId w:val="1001"/>
        </w:numPr>
      </w:pPr>
      <w:r>
        <w:t xml:space="preserve">Rolls-Royce.</w:t>
      </w:r>
      <w:r>
        <w:t xml:space="preserve"> </w:t>
      </w:r>
      <w:r>
        <w:rPr>
          <w:i/>
          <w:iCs/>
        </w:rPr>
        <w:t xml:space="preserve">University Energy Societies – Final Deliverables Guidance</w:t>
      </w:r>
      <w:r>
        <w:t xml:space="preserve"> </w:t>
      </w:r>
      <w:r>
        <w:t xml:space="preserve">(11/02/2025).</w:t>
      </w:r>
    </w:p>
    <w:p>
      <w:pPr>
        <w:pStyle w:val="Compact"/>
        <w:numPr>
          <w:ilvl w:val="0"/>
          <w:numId w:val="1001"/>
        </w:numPr>
      </w:pPr>
      <w:r>
        <w:t xml:space="preserve">Rolls-Royce.</w:t>
      </w:r>
      <w:r>
        <w:t xml:space="preserve"> </w:t>
      </w:r>
      <w:r>
        <w:rPr>
          <w:i/>
          <w:iCs/>
        </w:rPr>
        <w:t xml:space="preserve">Rolls Royce Fission Energy Project 2025-2026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Dostal, V. (2004).</w:t>
      </w:r>
      <w:r>
        <w:t xml:space="preserve"> </w:t>
      </w:r>
      <w:r>
        <w:rPr>
          <w:i/>
          <w:iCs/>
        </w:rPr>
        <w:t xml:space="preserve">A Supercritical Carbon Dioxide Cycle for Next Generation Nuclear Reactors</w:t>
      </w:r>
      <w:r>
        <w:t xml:space="preserve">. MIT PhD Thesis.</w:t>
      </w:r>
    </w:p>
    <w:p>
      <w:pPr>
        <w:pStyle w:val="Compact"/>
        <w:numPr>
          <w:ilvl w:val="0"/>
          <w:numId w:val="1001"/>
        </w:numPr>
      </w:pPr>
      <w:r>
        <w:t xml:space="preserve">ASME.</w:t>
      </w:r>
      <w:r>
        <w:t xml:space="preserve"> </w:t>
      </w:r>
      <w:r>
        <w:rPr>
          <w:i/>
          <w:iCs/>
        </w:rPr>
        <w:t xml:space="preserve">V&amp;V 20 Standard</w:t>
      </w:r>
      <w:r>
        <w:t xml:space="preserve"> </w:t>
      </w:r>
      <w:r>
        <w:t xml:space="preserve">(Verification and Validation in CFD and Heat Transfer Modelling).</w:t>
      </w:r>
    </w:p>
    <w:bookmarkEnd w:id="46"/>
    <w:bookmarkStart w:id="47" w:name="Xee4986af8bc87dd23e3e320733b5d88179855d3"/>
    <w:p>
      <w:pPr>
        <w:pStyle w:val="Heading3"/>
      </w:pPr>
      <w:r>
        <w:t xml:space="preserve">Section 7 safety references (teammate workstream)</w:t>
      </w:r>
    </w:p>
    <w:p>
      <w:pPr>
        <w:pStyle w:val="Compact"/>
        <w:numPr>
          <w:ilvl w:val="0"/>
          <w:numId w:val="1002"/>
        </w:numPr>
      </w:pPr>
      <w:r>
        <w:t xml:space="preserve">IAEA (1996) INSAG-10 Defence in Depth in Nuclear Safety.</w:t>
      </w:r>
    </w:p>
    <w:p>
      <w:pPr>
        <w:pStyle w:val="Compact"/>
        <w:numPr>
          <w:ilvl w:val="0"/>
          <w:numId w:val="1002"/>
        </w:numPr>
      </w:pPr>
      <w:r>
        <w:t xml:space="preserve">JAEA (2024) HTTR safety demonstration updates.</w:t>
      </w:r>
    </w:p>
    <w:p>
      <w:pPr>
        <w:pStyle w:val="Compact"/>
        <w:numPr>
          <w:ilvl w:val="0"/>
          <w:numId w:val="1002"/>
        </w:numPr>
      </w:pPr>
      <w:r>
        <w:t xml:space="preserve">Takamatsu et al. (2014) HTTR LOFC experiments and validation.</w:t>
      </w:r>
    </w:p>
    <w:p>
      <w:pPr>
        <w:pStyle w:val="Compact"/>
        <w:numPr>
          <w:ilvl w:val="0"/>
          <w:numId w:val="1002"/>
        </w:numPr>
      </w:pPr>
      <w:r>
        <w:t xml:space="preserve">OECD/NEA (2024) LOFC project references.</w:t>
      </w:r>
    </w:p>
    <w:bookmarkEnd w:id="47"/>
    <w:bookmarkEnd w:id="48"/>
    <w:bookmarkStart w:id="49" w:name="appendix-4.3-note"/>
    <w:p>
      <w:pPr>
        <w:pStyle w:val="Heading2"/>
      </w:pPr>
      <w:r>
        <w:t xml:space="preserve">Appendix 4.3 Note</w:t>
      </w:r>
    </w:p>
    <w:p>
      <w:pPr>
        <w:pStyle w:val="FirstParagraph"/>
      </w:pPr>
      <w:r>
        <w:t xml:space="preserve">Appendix 4.3 should be retained for detailed derivations and comparator logic. Main-body headline claims in this report use</w:t>
      </w:r>
      <w:r>
        <w:t xml:space="preserve"> </w:t>
      </w:r>
      <w:r>
        <w:rPr>
          <w:rStyle w:val="VerbatimChar"/>
        </w:rPr>
        <w:t xml:space="preserve">S2_30MW_FUELDISP</w:t>
      </w:r>
      <w:r>
        <w:t xml:space="preserve"> </w:t>
      </w:r>
      <w:r>
        <w:t xml:space="preserve">under project avoided-emissions (</w:t>
      </w:r>
      <w:r>
        <w:rPr>
          <w:rStyle w:val="VerbatimChar"/>
        </w:rPr>
        <w:t xml:space="preserve">fuel_displacement</w:t>
      </w:r>
      <w:r>
        <w:t xml:space="preserve">) framing with explicit scenario and assumption tagging.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2026-03-01T21:18:49Z</dcterms:created>
  <dcterms:modified xsi:type="dcterms:W3CDTF">2026-03-01T21:18:49Z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