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851A9A" w:rsidRDefault="002E0B6B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851A9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>ส่วนงาน</w:t>
      </w:r>
      <w:r w:rsidRPr="00851A9A">
        <w:rPr>
          <w:rFonts w:ascii="TH SarabunPSK" w:hAnsi="TH SarabunPSK" w:cs="TH SarabunPSK"/>
          <w:cs/>
        </w:rPr>
        <w:tab/>
        <w:t xml:space="preserve"> ภาควิชา </w:t>
      </w:r>
      <w:r w:rsidRPr="00851A9A">
        <w:rPr>
          <w:rFonts w:ascii="TH SarabunPSK" w:hAnsi="TH SarabunPSK" w:cs="TH SarabunPSK"/>
        </w:rPr>
        <w:t>กายวิภาคศาสตร์</w:t>
      </w:r>
      <w:r w:rsidRPr="00851A9A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851A9A">
        <w:rPr>
          <w:rFonts w:ascii="TH SarabunPSK" w:hAnsi="TH SarabunPSK" w:cs="TH SarabunPSK"/>
        </w:rPr>
        <w:t>4455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 xml:space="preserve">ที่ </w:t>
      </w: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</w:t>
      </w:r>
      <w:r w:rsidRPr="00851A9A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เรื่อง</w:t>
      </w: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เรียน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</w:rPr>
        <w:t>หัวหน้าภาควิชา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851A9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jc w:val="thaiDistribute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  <w:t xml:space="preserve"> เนื่องด้วย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 xml:space="preserve"> </w:t>
      </w:r>
      <w:r w:rsidRPr="00851A9A">
        <w:rPr>
          <w:rFonts w:ascii="TH SarabunPSK" w:hAnsi="TH SarabunPSK" w:cs="TH SarabunPSK"/>
        </w:rPr>
        <w:t>นาย พีรชาติ อำไพจิตร</w:t>
      </w:r>
      <w:r w:rsidRPr="00851A9A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851A9A">
        <w:rPr>
          <w:rFonts w:ascii="TH SarabunPSK" w:hAnsi="TH SarabunPSK" w:cs="TH SarabunPSK"/>
        </w:rPr>
        <w:t>สถาบันวิจัยระบบสาธารณสุข</w:t>
      </w:r>
      <w:r w:rsidRPr="00851A9A">
        <w:rPr>
          <w:rFonts w:ascii="TH SarabunPSK" w:hAnsi="TH SarabunPSK" w:cs="TH SarabunPSK"/>
          <w:cs/>
        </w:rPr>
        <w:t xml:space="preserve"> ให้ดำเนินโครงการ</w:t>
      </w:r>
      <w:r w:rsidRPr="00883321">
        <w:rPr>
          <w:rFonts w:ascii="TH SarabunPSK" w:hAnsi="TH SarabunPSK" w:cs="TH SarabunPSK"/>
          <w:cs/>
        </w:rPr>
        <w:t>ศึกษา  เรื่อง “</w:t>
      </w:r>
      <w:r w:rsidR="00883321" w:rsidRPr="00883321">
        <w:rPr>
          <w:rFonts w:ascii="TH SarabunPSK" w:hAnsi="TH SarabunPSK" w:cs="TH SarabunPSK"/>
          <w:spacing w:val="-8"/>
        </w:rPr>
        <w:t>เครือข่ายการศึกษาถึงปัจจัย (แบบแผนการรักษาและแนวปฏิบัติ) ที่ส่งผลต่อผลลัพธ์ของการล้างไตทางช่องท้อง หรือ Thailand-Peritoneal Dialysis Outcomes and Practice Patterns Study (Thailand-P-DOPPS)</w:t>
      </w:r>
      <w:r w:rsidRPr="00883321">
        <w:rPr>
          <w:rFonts w:ascii="TH SarabunPSK" w:hAnsi="TH SarabunPSK" w:cs="TH SarabunPSK"/>
          <w:cs/>
        </w:rPr>
        <w:t>” เป็น</w:t>
      </w:r>
      <w:r w:rsidRPr="00851A9A">
        <w:rPr>
          <w:rFonts w:ascii="TH SarabunPSK" w:hAnsi="TH SarabunPSK" w:cs="TH SarabunPSK"/>
          <w:cs/>
        </w:rPr>
        <w:t xml:space="preserve">จำนวน </w:t>
      </w:r>
      <w:r w:rsidRPr="00851A9A">
        <w:rPr>
          <w:rFonts w:ascii="TH SarabunPSK" w:hAnsi="TH SarabunPSK" w:cs="TH SarabunPSK"/>
        </w:rPr>
        <w:t>4,559,000.00</w:t>
      </w:r>
      <w:r w:rsidRPr="00851A9A">
        <w:rPr>
          <w:rFonts w:ascii="TH SarabunPSK" w:hAnsi="TH SarabunPSK" w:cs="TH SarabunPSK"/>
          <w:cs/>
        </w:rPr>
        <w:t xml:space="preserve"> บาท (</w:t>
      </w:r>
      <w:r w:rsidRPr="00851A9A">
        <w:rPr>
          <w:rFonts w:ascii="TH SarabunPSK" w:hAnsi="TH SarabunPSK" w:cs="TH SarabunPSK"/>
        </w:rPr>
        <w:t>สี่ล้านห้าแสนห้าหมื่นเก้าพันบาทถ้วน</w:t>
      </w:r>
      <w:r w:rsidRPr="00851A9A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851A9A">
        <w:rPr>
          <w:rFonts w:ascii="TH SarabunPSK" w:hAnsi="TH SarabunPSK" w:cs="TH SarabunPSK"/>
        </w:rPr>
        <w:t>2 พฤษภาคม 2559</w:t>
      </w:r>
      <w:r w:rsidRPr="00851A9A">
        <w:rPr>
          <w:rFonts w:ascii="TH SarabunPSK" w:hAnsi="TH SarabunPSK" w:cs="TH SarabunPSK"/>
          <w:cs/>
        </w:rPr>
        <w:t xml:space="preserve"> ถึง วันที่ </w:t>
      </w:r>
      <w:r w:rsidRPr="00851A9A">
        <w:rPr>
          <w:rFonts w:ascii="TH SarabunPSK" w:hAnsi="TH SarabunPSK" w:cs="TH SarabunPSK"/>
        </w:rPr>
        <w:t>1 พฤษภาคม 2560</w:t>
      </w:r>
      <w:r w:rsidRPr="00851A9A">
        <w:rPr>
          <w:rFonts w:ascii="TH SarabunPSK" w:hAnsi="TH SarabunPSK" w:cs="TH SarabunPSK"/>
          <w:cs/>
        </w:rPr>
        <w:t xml:space="preserve"> นั้น</w:t>
      </w:r>
      <w:bookmarkStart w:id="0" w:name="_GoBack"/>
      <w:bookmarkEnd w:id="0"/>
      <w:r w:rsidRPr="00851A9A">
        <w:rPr>
          <w:rFonts w:ascii="TH SarabunPSK" w:hAnsi="TH SarabunPSK" w:cs="TH SarabunPSK"/>
          <w:cs/>
        </w:rPr>
        <w:t xml:space="preserve">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851A9A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</w:p>
    <w:p w:rsidR="00534A8B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</w:t>
      </w:r>
    </w:p>
    <w:p w:rsidR="00A319E6" w:rsidRPr="00534A8B" w:rsidRDefault="00534A8B" w:rsidP="00534A8B">
      <w:pPr>
        <w:ind w:left="5040" w:firstLine="720"/>
        <w:rPr>
          <w:rFonts w:ascii="TH SarabunPSK" w:hAnsi="TH SarabunPSK" w:cs="TH SarabunPSK"/>
          <w:cs/>
        </w:rPr>
      </w:pPr>
      <w:r w:rsidRPr="00534A8B">
        <w:rPr>
          <w:rFonts w:ascii="TH SarabunPSK" w:hAnsi="TH SarabunPSK" w:cs="TH SarabunPSK"/>
          <w:cs/>
        </w:rPr>
        <w:t>(</w:t>
      </w:r>
      <w:r w:rsidRPr="00534A8B">
        <w:rPr>
          <w:rFonts w:ascii="TH SarabunPSK" w:hAnsi="TH SarabunPSK" w:cs="TH SarabunPSK"/>
        </w:rPr>
        <w:t>นาย พีรชาติ อำไพจิตร</w:t>
      </w:r>
      <w:r w:rsidR="00A319E6" w:rsidRPr="00534A8B">
        <w:rPr>
          <w:rFonts w:ascii="TH SarabunPSK" w:hAnsi="TH SarabunPSK" w:cs="TH SarabunPSK"/>
          <w:cs/>
        </w:rPr>
        <w:t>)</w:t>
      </w:r>
    </w:p>
    <w:p w:rsidR="00A319E6" w:rsidRPr="00851A9A" w:rsidRDefault="00A319E6" w:rsidP="00E45689">
      <w:pPr>
        <w:ind w:left="5040" w:firstLine="720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>หัวหน้าโครงการวิจัย</w:t>
      </w:r>
    </w:p>
    <w:p w:rsidR="00A319E6" w:rsidRPr="00851A9A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eastAsia="Angsana New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</w:rPr>
        <w:t>หัวหน้าภาควิชา</w:t>
      </w:r>
    </w:p>
    <w:p w:rsidR="00A319E6" w:rsidRPr="00851A9A" w:rsidRDefault="002E0B6B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  <w:t xml:space="preserve">  </w:t>
      </w:r>
      <w:r w:rsidR="00A319E6"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Pr="00851A9A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เครือข่ายการศึกษาถึงปัจจัย (แบบแผนการรักษาและแนวปฏิบัติ) ที่ส่งผลต่อผลลัพธ์ของการล้างไตทางช่องท้อง หรือ Thailand-Peritoneal Dialysis Outcomes and Practice Patterns Study (Thailand-P-DOPPS)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สถาบันวิจัยระบบสาธารณสุข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เครือข่ายการศึกษาถึงปัจจัย (แบบแผนการรักษาและแนวปฏิบัติ) ที่ส่งผลต่อผลลัพธ์ของการล้างไตทางช่องท้อง หรือ Thailand-Peritoneal Dialysis Outcomes and Practice Patterns Study (Thailand-P-DOPPS)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4,559,000.00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สี่ล้านห้าแสนห้าหมื่นเก้าพันบาทถ้วน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 11 เดือน 30 วัน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2 พฤษภาคม 2559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1 พฤษภาคม 2560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เครือข่ายการศึกษาถึงปัจจัย (แบบแผนการรักษาและแนวปฏิบัติ) ที่ส่งผลต่อผลลัพธ์ของการล้างไตทางช่องท้อง หรือ Thailand-Peritoneal Dialysis Outcomes and Practice Patterns Study (Thailand-P-DOPPS)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1.1 เพื่อลดอุบัติการณ์ของ culture-negative peritonitis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1.2 เพื่อค้นหาปัจจัยที่สัมพันธ์กับการล้มเหลวทางเทคนิคของการล้างไตทางช่องท้องของประเทศ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1.3 เพื่อประเมินผลลัพธ์ของการล้างไตทางช่องท้อง ได้แก่ อัตราการเสียชีวิตจากทุกสาเหตุ ความล้มเหลวทางเทคนิค อัตราการนอนโรงพยาบาล ภาวะแทรกซ้อนที่สัมพันธ์กับการล้างไตทางช่องท้อง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1.4 เพื่อประเมินเจตคติ สภาวะทางอารมณ์ และจิตวิญญาณ ความพึงพอใจต่อระบบบริการ ของผู้ป่วยและผู้ดูแล (caregiver) ต่อผลลัพธ์ของการรักษาผู้ป่วยล้างไตทางช่องท้อง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1.5 เพื่อยกมาตรฐานการล้างไตทางช่องท้องสู่ระดับสากล และเป็นเวทีส่งเสริมความร่วมมือระดับนานาชาติ ด้านการวิจัยทางคลินิกด้านการล้างไตทางช่องท้องที่มีประสิทธิภาพ</w:t>
            </w:r>
          </w:p>
        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คณบดีคณะแพทยศาสตร์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นาย พีรชาติ อำไพจิตร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2.2.2 แพทย์หญิงชนิดา วินะยานุวัติคุณ</w:t>
              <w:tab/>
              <w:t>ผู้ร่วมวิจัย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2.2.3 นายแพทย์สืบพงศ์ ธนสารวิมล</w:t>
              <w:tab/>
              <w:t>ผู้ร่วมวิจัย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2.2.4 แพทย์หญิงณัฏยา ภู่วรวรรณ</w:t>
              <w:tab/>
              <w:t>ผู้ร่วมวิจัย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2.2.5 แพทย์หญิงปิยะดา สิทธิเดชไพบูลย์</w:t>
              <w:tab/>
              <w:t>ผู้ร่วมวิจัย</w:t>
            </w:r>
          </w:p>
        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A253C1" w:rsidRPr="00851A9A">
        <w:rPr>
          <w:rFonts w:ascii="TH SarabunPSK" w:eastAsia="Cordia New" w:hAnsi="TH SarabunPSK" w:cs="TH SarabunPSK"/>
          <w:sz w:val="32"/>
          <w:szCs w:val="32"/>
          <w:cs/>
        </w:rPr>
        <w:t>สำนัก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คณะกรรมการวิจัยแห่งชาติ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4,559,000.00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สี่ล้านห้าแสนห้าหมื่นเก้าพันบาทถ้วน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3.1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หมวดเงินเดือนและค่าจ้าง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376,800.00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3.1.1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ค่าจ้างนักวิจัย วุฒิ ป.โท (เทียบเท่า) (16,400 บาท x 1 คน x 12 เดือน)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196,800.00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3.1.2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ค่าจ้างผู้ประสานงานโครงการ วุฒิ ป.ตรี (เทียบเท่า)  (15,000 บาท x 1 คน x 12 เดือน)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180,000.00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3.2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หมวดค่าตอบแทน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200,000.00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3.2.1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ค่าตอบแทนคณะวิจัย (ศาสตราจารย์) : บุคคลภายใน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3.3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หมวดค่าใช้สอย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820,000.00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3.3.1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ค่ากรอกข้อมูลลงทะเบียน CENSUS  (20 บาท/ราย X 5000 ราย ตลอดทั้งปี)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100,000.00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3.3.2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ค่าทบทวนเวชระเบียนลง IS (300 บาท/ครั้ง/ราย 4 ครั้ง/ปี X 600 ราย/ปี) 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720,000.00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3.4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หมวดค่าวัสดุ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38,760.00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3.4.1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ค่าพิมพ์เอกสาร worksheet (Questionnaires 200 หน้า/คน x 600 คน)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18,760.00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3.4.2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ค่าถ่ายเอกสาร เพื่อถ่ายเอกสารส่ง Ann Arbor และเก็บสำเนา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3.5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หมวดค่าครุภัณฑ์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3.6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ค่าสาธารณูปโภค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3.6.1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ค่าน้ำ ค่าไฟฟ้า (นำส่งฝ่ายการเงินมหาวิทยาลัย)  ขอยกเว้นเนื่องจากผู้ให้ทุนไม่ได้อนุมัติในหมวดนี้ (ได้รับการยกเว้น โดยมติที่ประชุมจากกรรมการบริหารคณะแพทยศาสตร์ ครั้งที่......เมื่อวันที่....................)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3.6.2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ค่าโทรศัพท์ โทรสาร และค่าเช่าเครื่อง teleconference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3.7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หมวดเงินอุดหนุนการดำเนินงานของคณะแพทยศาสตร์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3.7.1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ขออนุมัติยกเว้น ขอยกเว้นเนื่องจากผู้ให้ทุนไม่ได้อนุมัติในหมวดนี้ (ได้รับการยกเว้น โดยมติที่ประชุมจากกรรมการบริหารคณะแพทยศาสตร์ ครั้งที่......เมื่อวันที่....................)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/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รวมเป็นเงินทั้งสิ้น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1,455,560.00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(หนึ่งล้านสี่แสนห้าหมื่นห้าพันห้าร้อยหกสิบบาทถ้วน)</w:t>
                  </w:r>
                </w:p>
              </w:tc>
            </w:tr>
          </w:tbl>
        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</w:t>
      </w:r>
      <w:proofErr w:type="spellEnd"/>
      <w:r w:rsidRPr="00851A9A">
        <w:rPr>
          <w:rFonts w:ascii="TH SarabunPSK" w:hAnsi="TH SarabunPSK" w:cs="TH SarabunPSK"/>
          <w:sz w:val="32"/>
          <w:szCs w:val="32"/>
          <w:cs/>
        </w:rPr>
        <w:t>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>ให้นำส่งคืนผู้ให้ทุน</w:t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ค่าตอบแทนคณะวิจัย (ศาสตราจารย์) : บุคคลภายใน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ค่าตอบแทน PD nurse ประจำ site ในการตอบแบบสอบถาม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11,000.00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ค่าตอบแทนขอ consent form จาก sites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30,000.00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</w:tbl>
        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คณะแพทยศาสตร์ จุฬาฯ (เครือข่ายการศึกษาถึงปัจจัย(แบบแผนการรักษาแนวปฏิบัติ)ฯ)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บมจ.ธนาคารกรุงไทย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สยามสแควร์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052-0-43402-1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ให้คณบดีคณะแพทยศาสตร์ เป็นผู้มีอำนาจสั่งจ่ายในวงเงินครั้งละไม่เกิน 500,000 บาท (ห้าแสนบาทถ้วน)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1. รศ. นพ. วิโรจน์ ศรีอุฬารพงศ์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2. ศ. นพ. ยิ่งยศ อวิหิงสานนท์</w:t>
            </w:r>
          </w:p>
        </w:t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ส่งรายงานเมื่อสิ้นสุดโครงการ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1 เป็นจำนวนเงิน 866,210.00 บาท (แปดแสนหกหมื่นหกพันสองร้อยสิบบาทถ้วน) เมื่อผู้รับทุนทำสัญญาขอรับทุนกับผู้ให้ทุน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2 เป็นจำนวนเงิน 2,165,520.00 บาท (สองล้านหนึ่งแสนหกหมื่นห้าพันห้าร้อยยี่สิบบาทถ้วน) เมื่อผู้รับทุนได้ส่งรายงานความก้าวหน้าครั้งที่ 1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3 เป็นจำนวนเงิน 227,950.00 บาท (สองแสนสองหมื่นเจ็ดพันเก้าร้อยห้าสิบบาทถ้วน) เมื่อผู้รับทุนได้ส่งรายงานการวิจัยฉบับสมบูรณ์</w:t>
            </w:r>
          </w:p>
        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EB1" w:rsidRDefault="00897EB1">
      <w:r>
        <w:separator/>
      </w:r>
    </w:p>
  </w:endnote>
  <w:endnote w:type="continuationSeparator" w:id="0">
    <w:p w:rsidR="00897EB1" w:rsidRDefault="0089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EB1" w:rsidRDefault="00897EB1">
      <w:r>
        <w:separator/>
      </w:r>
    </w:p>
  </w:footnote>
  <w:footnote w:type="continuationSeparator" w:id="0">
    <w:p w:rsidR="00897EB1" w:rsidRDefault="00897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883321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CB6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34A8B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3E8B"/>
    <w:rsid w:val="00656EEB"/>
    <w:rsid w:val="00676B3E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83321"/>
    <w:rsid w:val="008945D1"/>
    <w:rsid w:val="00897EB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06922"/>
    <w:rsid w:val="00A16F43"/>
    <w:rsid w:val="00A17E48"/>
    <w:rsid w:val="00A21E8B"/>
    <w:rsid w:val="00A253C1"/>
    <w:rsid w:val="00A319E6"/>
    <w:rsid w:val="00A3576D"/>
    <w:rsid w:val="00A36390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6B95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4B3B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61DA"/>
    <w:rsid w:val="00DA4F4C"/>
    <w:rsid w:val="00DB1FEF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45689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11E2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C4533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C460DF-A96F-4E90-9725-69ECDFB1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53</cp:revision>
  <cp:lastPrinted>2016-05-11T02:34:00Z</cp:lastPrinted>
  <dcterms:created xsi:type="dcterms:W3CDTF">2016-06-05T09:25:00Z</dcterms:created>
  <dcterms:modified xsi:type="dcterms:W3CDTF">2016-06-08T04:09:00Z</dcterms:modified>
</cp:coreProperties>
</file>