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r>
        <w:rPr>
          <w:rFonts w:ascii="Consolas" w:cs="Consolas" w:eastAsia="Consolas" w:hAnsi="Consolas"/>
          <w:color w:val="5B6470"/>
          <w:sz w:val="20"/>
          <w:szCs w:val="20"/>
        </w:rPr>
        <w:t xml:space="preserve">ARCHITECTURAL NOTES</w:t>
      </w:r>
    </w:p>
    <w:p>
      <w:pPr>
        <w:spacing w:after="100" w:before="200"/>
      </w:pPr>
      <w:r>
        <w:rPr>
          <w:rFonts w:ascii="Georgia" w:cs="Georgia" w:eastAsia="Georgia" w:hAnsi="Georgia"/>
          <w:b/>
          <w:bCs/>
          <w:color w:val="1A1D21"/>
          <w:sz w:val="52"/>
          <w:szCs w:val="52"/>
        </w:rPr>
        <w:t xml:space="preserve">Design Rationale &amp; Decision Log</w:t>
      </w:r>
    </w:p>
    <w:p>
      <w:pPr>
        <w:spacing w:after="500"/>
      </w:pPr>
      <w:r>
        <w:rPr>
          <w:rFonts w:ascii="Georgia" w:cs="Georgia" w:eastAsia="Georgia" w:hAnsi="Georgia"/>
          <w:i/>
          <w:iCs/>
          <w:color w:val="154E42"/>
          <w:sz w:val="24"/>
          <w:szCs w:val="24"/>
        </w:rPr>
        <w:t xml:space="preserve">Why the system is built the way it is — companion document to the Engineering Design Specification</w:t>
      </w:r>
    </w:p>
    <w:p>
      <w:pPr>
        <w:pBdr>
          <w:top w:val="single" w:color="D6DDDA" w:sz="4"/>
        </w:pBdr>
        <w:spacing w:before="300"/>
      </w:pPr>
      <w:r>
        <w:rPr>
          <w:rFonts w:ascii="Calibri" w:cs="Calibri" w:eastAsia="Calibri" w:hAnsi="Calibri"/>
          <w:color w:val="5B6470"/>
          <w:sz w:val="20"/>
          <w:szCs w:val="20"/>
        </w:rPr>
        <w:t xml:space="preserve">This document explains the reasoning, trade-offs, and constraints behind the major architectural choices — read alongside the EDS, which documents what the system does; this documents why it does it that way.</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1  </w:t>
      </w:r>
      <w:r>
        <w:rPr>
          <w:rFonts w:ascii="Georgia" w:cs="Georgia" w:eastAsia="Georgia" w:hAnsi="Georgia"/>
          <w:b/>
          <w:bCs/>
          <w:color w:val="1A1D21"/>
          <w:sz w:val="30"/>
          <w:szCs w:val="30"/>
        </w:rPr>
        <w:t xml:space="preserve">Why a Master/Worker Split at All</w:t>
      </w:r>
    </w:p>
    <w:p>
      <w:pPr>
        <w:spacing w:after="140" w:before="0"/>
      </w:pPr>
      <w:r>
        <w:rPr>
          <w:rFonts w:ascii="Calibri" w:cs="Calibri" w:eastAsia="Calibri" w:hAnsi="Calibri"/>
          <w:b w:val="false"/>
          <w:bCs w:val="false"/>
          <w:i w:val="false"/>
          <w:iCs w:val="false"/>
          <w:color w:val="1A1D21"/>
          <w:sz w:val="21"/>
          <w:szCs w:val="21"/>
        </w:rPr>
        <w:t xml:space="preserve">The obvious simpler design is one machine running everything. The decision to split into a master (laptop) and worker (RTX 4050 desktop) was driven by a concrete resource constraint: local LLM inference, OCR/vision models, and speech synthesis all compete for the same GPU memory, and running them concurrently on one machine causes exactly the kind of resource starvation documented in the reliability notes (GPU-starved Ollama timeouts, "paging file too small" errors from concurrent torch processes).</w:t>
      </w:r>
    </w:p>
    <w:p>
      <w:pPr>
        <w:spacing w:after="140" w:before="0"/>
      </w:pPr>
      <w:r>
        <w:rPr>
          <w:rFonts w:ascii="Calibri" w:cs="Calibri" w:eastAsia="Calibri" w:hAnsi="Calibri"/>
          <w:b w:val="false"/>
          <w:bCs w:val="false"/>
          <w:i w:val="false"/>
          <w:iCs w:val="false"/>
          <w:color w:val="1A1D21"/>
          <w:sz w:val="21"/>
          <w:szCs w:val="21"/>
        </w:rPr>
        <w:t xml:space="preserve">Splitting compute-heavy work (vision, OCR, speech synthesis) onto a dedicated GPU machine while keeping the LLM, database, and orchestration on the laptop means Ollama's generation latency is no longer competing with a Whisper transcription or a Kokoro synthesis job for the same VRAM.</w:t>
      </w:r>
    </w:p>
    <w:p>
      <w:pPr>
        <w:pBdr>
          <w:top w:val="single" w:color="E0C9A6" w:sz="4"/>
          <w:bottom w:val="single" w:color="E0C9A6" w:sz="4"/>
          <w:left w:val="single" w:color="8A4A15" w:sz="16"/>
          <w:right w:val="single" w:color="E0C9A6" w:sz="4"/>
        </w:pBdr>
        <w:shd w:fill="FBF1E8" w:val="clear"/>
        <w:spacing w:after="160" w:before="40"/>
        <w:ind w:left="160" w:right="160"/>
      </w:pPr>
      <w:r>
        <w:rPr>
          <w:rFonts w:ascii="Consolas" w:cs="Consolas" w:eastAsia="Consolas" w:hAnsi="Consolas"/>
          <w:b/>
          <w:bCs/>
          <w:color w:val="8A4A15"/>
          <w:sz w:val="16"/>
          <w:szCs w:val="16"/>
        </w:rPr>
        <w:t xml:space="preserve">DESIGN NOTE   </w:t>
      </w:r>
      <w:r>
        <w:rPr>
          <w:rFonts w:ascii="Calibri" w:cs="Calibri" w:eastAsia="Calibri" w:hAnsi="Calibri"/>
          <w:i/>
          <w:iCs/>
          <w:color w:val="4A3A28"/>
          <w:sz w:val="19"/>
          <w:szCs w:val="19"/>
        </w:rPr>
        <w:t xml:space="preserve">This is a deliberate two-node topology, not a placeholder for a future Kubernetes deployment. The protocol (Section 3 of the EDS) is intentionally scoped to a handful of trusted LAN nodes — no auth token on registration, no TLS, no service discovery beyond a hardcoded IP. That is a reasonable trade-off for a home cluster and would be the first thing to change before any multi-tenant or internet-facing deployment.</w:t>
      </w:r>
    </w:p>
    <w:p>
      <w:pPr>
        <w:pStyle w:val="Heading2"/>
        <w:spacing w:after="140" w:before="260"/>
      </w:pPr>
      <w:r>
        <w:rPr>
          <w:rFonts w:ascii="Georgia" w:cs="Georgia" w:eastAsia="Georgia" w:hAnsi="Georgia"/>
          <w:b/>
          <w:bCs/>
          <w:color w:val="154E42"/>
          <w:sz w:val="24"/>
          <w:szCs w:val="24"/>
        </w:rPr>
        <w:t xml:space="preserve">1.1 What stays on the master, and why</w:t>
      </w:r>
    </w:p>
    <w:p>
      <w:pPr>
        <w:pStyle w:val="ListParagraph"/>
        <w:numPr>
          <w:ilvl w:val="0"/>
          <w:numId w:val="2"/>
        </w:numPr>
        <w:spacing w:after="70"/>
      </w:pPr>
      <w:r>
        <w:rPr>
          <w:rFonts w:ascii="Calibri" w:cs="Calibri" w:eastAsia="Calibri" w:hAnsi="Calibri"/>
          <w:color w:val="1A1D21"/>
          <w:sz w:val="20"/>
          <w:szCs w:val="20"/>
        </w:rPr>
        <w:t xml:space="preserve">Database (MySQL) — single source of truth; splitting this would introduce a distributed-data problem this project doesn't need to solve.</w:t>
      </w:r>
    </w:p>
    <w:p>
      <w:pPr>
        <w:pStyle w:val="ListParagraph"/>
        <w:numPr>
          <w:ilvl w:val="0"/>
          <w:numId w:val="2"/>
        </w:numPr>
        <w:spacing w:after="70"/>
      </w:pPr>
      <w:r>
        <w:rPr>
          <w:rFonts w:ascii="Calibri" w:cs="Calibri" w:eastAsia="Calibri" w:hAnsi="Calibri"/>
          <w:color w:val="1A1D21"/>
          <w:sz w:val="20"/>
          <w:szCs w:val="20"/>
        </w:rPr>
        <w:t xml:space="preserve">Ollama — the LLM itself; keeping generation on one machine avoids streaming tokens over the LAN mid-generation.</w:t>
      </w:r>
    </w:p>
    <w:p>
      <w:pPr>
        <w:pStyle w:val="ListParagraph"/>
        <w:numPr>
          <w:ilvl w:val="0"/>
          <w:numId w:val="2"/>
        </w:numPr>
        <w:spacing w:after="70"/>
      </w:pPr>
      <w:r>
        <w:rPr>
          <w:rFonts w:ascii="Calibri" w:cs="Calibri" w:eastAsia="Calibri" w:hAnsi="Calibri"/>
          <w:color w:val="1A1D21"/>
          <w:sz w:val="20"/>
          <w:szCs w:val="20"/>
        </w:rPr>
        <w:t xml:space="preserve">ComfyUI — tied to whichever GPU is closest to the master's own image-generation UI (studio/) for lowest round-trip latency.</w:t>
      </w:r>
    </w:p>
    <w:p>
      <w:pPr>
        <w:pStyle w:val="ListParagraph"/>
        <w:numPr>
          <w:ilvl w:val="0"/>
          <w:numId w:val="2"/>
        </w:numPr>
        <w:spacing w:after="70"/>
      </w:pPr>
      <w:r>
        <w:rPr>
          <w:rFonts w:ascii="Calibri" w:cs="Calibri" w:eastAsia="Calibri" w:hAnsi="Calibri"/>
          <w:color w:val="1A1D21"/>
          <w:sz w:val="20"/>
          <w:szCs w:val="20"/>
        </w:rPr>
        <w:t xml:space="preserve">tRPC/REST API surface — the single contract point the frontend talks to, regardless of where work actually executes.</w:t>
      </w:r>
    </w:p>
    <w:p>
      <w:pPr>
        <w:pStyle w:val="Heading2"/>
        <w:spacing w:after="140" w:before="260"/>
      </w:pPr>
      <w:r>
        <w:rPr>
          <w:rFonts w:ascii="Georgia" w:cs="Georgia" w:eastAsia="Georgia" w:hAnsi="Georgia"/>
          <w:b/>
          <w:bCs/>
          <w:color w:val="154E42"/>
          <w:sz w:val="24"/>
          <w:szCs w:val="24"/>
        </w:rPr>
        <w:t xml:space="preserve">1.2 What moves to the worker, and why</w:t>
      </w:r>
    </w:p>
    <w:p>
      <w:pPr>
        <w:pStyle w:val="ListParagraph"/>
        <w:numPr>
          <w:ilvl w:val="0"/>
          <w:numId w:val="2"/>
        </w:numPr>
        <w:spacing w:after="70"/>
      </w:pPr>
      <w:r>
        <w:rPr>
          <w:rFonts w:ascii="Calibri" w:cs="Calibri" w:eastAsia="Calibri" w:hAnsi="Calibri"/>
          <w:color w:val="1A1D21"/>
          <w:sz w:val="20"/>
          <w:szCs w:val="20"/>
        </w:rPr>
        <w:t xml:space="preserve">OCR / vision models — these are typically large VLMs (qwen3_vl, minicpm) that benefit from dedicated VRAM.</w:t>
      </w:r>
    </w:p>
    <w:p>
      <w:pPr>
        <w:pStyle w:val="ListParagraph"/>
        <w:numPr>
          <w:ilvl w:val="0"/>
          <w:numId w:val="2"/>
        </w:numPr>
        <w:spacing w:after="70"/>
      </w:pPr>
      <w:r>
        <w:rPr>
          <w:rFonts w:ascii="Calibri" w:cs="Calibri" w:eastAsia="Calibri" w:hAnsi="Calibri"/>
          <w:color w:val="1A1D21"/>
          <w:sz w:val="20"/>
          <w:szCs w:val="20"/>
        </w:rPr>
        <w:t xml:space="preserve">Speech synthesis engines — 7 separate model families, several of which (XTTS, Chatterbox) are large enough that running them alongside Ollama on one GPU is impractical.</w:t>
      </w:r>
    </w:p>
    <w:p>
      <w:pPr>
        <w:pStyle w:val="ListParagraph"/>
        <w:numPr>
          <w:ilvl w:val="0"/>
          <w:numId w:val="2"/>
        </w:numPr>
        <w:spacing w:after="70"/>
      </w:pPr>
      <w:r>
        <w:rPr>
          <w:rFonts w:ascii="Calibri" w:cs="Calibri" w:eastAsia="Calibri" w:hAnsi="Calibri"/>
          <w:color w:val="1A1D21"/>
          <w:sz w:val="20"/>
          <w:szCs w:val="20"/>
        </w:rPr>
        <w:t xml:space="preserve">Heavy document parsing (marker PDF pipeline) — CPU/GPU-intensive layout analysis, naturally parallelizable away from the interactive chat path.</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2  </w:t>
      </w:r>
      <w:r>
        <w:rPr>
          <w:rFonts w:ascii="Georgia" w:cs="Georgia" w:eastAsia="Georgia" w:hAnsi="Georgia"/>
          <w:b/>
          <w:bCs/>
          <w:color w:val="1A1D21"/>
          <w:sz w:val="30"/>
          <w:szCs w:val="30"/>
        </w:rPr>
        <w:t xml:space="preserve">The Fallback Philosophy: Cluster Is an Optimization, Not a Dependency</w:t>
      </w:r>
    </w:p>
    <w:p>
      <w:pPr>
        <w:spacing w:after="140" w:before="0"/>
      </w:pPr>
      <w:r>
        <w:rPr>
          <w:rFonts w:ascii="Calibri" w:cs="Calibri" w:eastAsia="Calibri" w:hAnsi="Calibri"/>
          <w:b w:val="false"/>
          <w:bCs w:val="false"/>
          <w:i w:val="false"/>
          <w:iCs w:val="false"/>
          <w:color w:val="1A1D21"/>
          <w:sz w:val="21"/>
          <w:szCs w:val="21"/>
        </w:rPr>
        <w:t xml:space="preserve">The single most important design principle running through the whole codebase: nothing in this system requires the worker node to be online. Every cluster call has a local fallback path, and the code is explicit about this in three separate places:</w:t>
      </w:r>
    </w:p>
    <w:p>
      <w:pPr>
        <w:pStyle w:val="Heading3"/>
        <w:spacing w:after="100" w:before="200"/>
      </w:pPr>
      <w:r>
        <w:rPr>
          <w:rFonts w:ascii="Calibri" w:cs="Calibri" w:eastAsia="Calibri" w:hAnsi="Calibri"/>
          <w:b/>
          <w:bCs/>
          <w:color w:val="1A1D21"/>
          <w:sz w:val="21"/>
          <w:szCs w:val="21"/>
        </w:rPr>
        <w:t xml:space="preserve">2.1 Tool execution — services/cluster.ts</w:t>
      </w:r>
    </w:p>
    <w:p>
      <w:pPr>
        <w:pBdr>
          <w:left w:val="single" w:color="1F6F5C" w:sz="12"/>
        </w:pBdr>
        <w:shd w:fill="EFF4F2" w:val="clear"/>
        <w:spacing w:after="100"/>
        <w:ind w:left="200"/>
      </w:pPr>
      <w:r>
        <w:rPr>
          <w:rFonts w:ascii="Consolas" w:cs="Consolas" w:eastAsia="Consolas" w:hAnsi="Consolas"/>
          <w:color w:val="263430"/>
          <w:sz w:val="18"/>
          <w:szCs w:val="18"/>
        </w:rPr>
        <w:t xml:space="preserve">if (!worker) {
  if (PYTHON_TOOLS.has(tool)) return await pythonRuntimeClient.execute(tool, args);
  return await localExecutor();
}</w:t>
      </w:r>
    </w:p>
    <w:p>
      <w:pPr>
        <w:spacing w:after="140" w:before="0"/>
      </w:pPr>
      <w:r>
        <w:rPr>
          <w:rFonts w:ascii="Calibri" w:cs="Calibri" w:eastAsia="Calibri" w:hAnsi="Calibri"/>
          <w:b w:val="false"/>
          <w:bCs w:val="false"/>
          <w:i w:val="false"/>
          <w:iCs w:val="false"/>
          <w:color w:val="1A1D21"/>
          <w:sz w:val="21"/>
          <w:szCs w:val="21"/>
        </w:rPr>
        <w:t xml:space="preserve">A worker being offline doesn't fail the request — it silently changes which machine does the work.</w:t>
      </w:r>
    </w:p>
    <w:p>
      <w:pPr>
        <w:pStyle w:val="Heading3"/>
        <w:spacing w:after="100" w:before="200"/>
      </w:pPr>
      <w:r>
        <w:rPr>
          <w:rFonts w:ascii="Calibri" w:cs="Calibri" w:eastAsia="Calibri" w:hAnsi="Calibri"/>
          <w:b/>
          <w:bCs/>
          <w:color w:val="1A1D21"/>
          <w:sz w:val="21"/>
          <w:szCs w:val="21"/>
        </w:rPr>
        <w:t xml:space="preserve">2.2 Speech synthesis — speech/services/clusterSpeech.ts</w:t>
      </w:r>
    </w:p>
    <w:p>
      <w:pPr>
        <w:pBdr>
          <w:left w:val="single" w:color="1F6F5C" w:sz="12"/>
        </w:pBdr>
        <w:shd w:fill="EFF4F2" w:val="clear"/>
        <w:spacing w:after="100"/>
        <w:ind w:left="200"/>
      </w:pPr>
      <w:r>
        <w:rPr>
          <w:rFonts w:ascii="Consolas" w:cs="Consolas" w:eastAsia="Consolas" w:hAnsi="Consolas"/>
          <w:color w:val="263430"/>
          <w:sz w:val="18"/>
          <w:szCs w:val="18"/>
        </w:rPr>
        <w:t xml:space="preserve">try {
  return await fetch(`http://${worker.ip}:${worker.port}/speech`, ...);
} catch (err) {
  console.warn("[SPEECH] Remote Runtime Failed. Falling back to local runtime");
  return localExecutor();
}</w:t>
      </w:r>
    </w:p>
    <w:p>
      <w:pPr>
        <w:spacing w:after="140" w:before="0"/>
      </w:pPr>
      <w:r>
        <w:rPr>
          <w:rFonts w:ascii="Calibri" w:cs="Calibri" w:eastAsia="Calibri" w:hAnsi="Calibri"/>
          <w:b w:val="false"/>
          <w:bCs w:val="false"/>
          <w:i w:val="false"/>
          <w:iCs w:val="false"/>
          <w:color w:val="1A1D21"/>
          <w:sz w:val="21"/>
          <w:szCs w:val="21"/>
        </w:rPr>
        <w:t xml:space="preserve">A 300-second timeout guards the remote call, but any failure — timeout, non-2xx, network error — falls straight through to whatever the master can do on its own.</w:t>
      </w:r>
    </w:p>
    <w:p>
      <w:pPr>
        <w:pStyle w:val="Heading3"/>
        <w:spacing w:after="100" w:before="200"/>
      </w:pPr>
      <w:r>
        <w:rPr>
          <w:rFonts w:ascii="Calibri" w:cs="Calibri" w:eastAsia="Calibri" w:hAnsi="Calibri"/>
          <w:b/>
          <w:bCs/>
          <w:color w:val="1A1D21"/>
          <w:sz w:val="21"/>
          <w:szCs w:val="21"/>
        </w:rPr>
        <w:t xml:space="preserve">2.3 The routing decision itself is re-evaluated per-request</w:t>
      </w:r>
    </w:p>
    <w:p>
      <w:pPr>
        <w:spacing w:after="140" w:before="0"/>
      </w:pPr>
      <w:r>
        <w:rPr>
          <w:rFonts w:ascii="Calibri" w:cs="Calibri" w:eastAsia="Calibri" w:hAnsi="Calibri"/>
          <w:b w:val="false"/>
          <w:bCs w:val="false"/>
          <w:i w:val="false"/>
          <w:iCs w:val="false"/>
          <w:color w:val="1A1D21"/>
          <w:sz w:val="21"/>
          <w:szCs w:val="21"/>
        </w:rPr>
        <w:t xml:space="preserve">PythonRuntime.getHttpClient() (speech module) doesn't cache "is a worker available" once at startup — it calls selectWorker("speech") fresh on every single synthesize()/transcribe() call. This means the system self-heals mid-session: if the worker connects halfway through a conversation, the very next TTS request routes to it with zero manual intervention.</w:t>
      </w:r>
    </w:p>
    <w:p>
      <w:pPr>
        <w:pBdr>
          <w:top w:val="single" w:color="E0C9A6" w:sz="4"/>
          <w:bottom w:val="single" w:color="E0C9A6" w:sz="4"/>
          <w:left w:val="single" w:color="8A4A15" w:sz="16"/>
          <w:right w:val="single" w:color="E0C9A6" w:sz="4"/>
        </w:pBdr>
        <w:shd w:fill="FBF1E8" w:val="clear"/>
        <w:spacing w:after="160" w:before="40"/>
        <w:ind w:left="160" w:right="160"/>
      </w:pPr>
      <w:r>
        <w:rPr>
          <w:rFonts w:ascii="Consolas" w:cs="Consolas" w:eastAsia="Consolas" w:hAnsi="Consolas"/>
          <w:b/>
          <w:bCs/>
          <w:color w:val="8A4A15"/>
          <w:sz w:val="16"/>
          <w:szCs w:val="16"/>
        </w:rPr>
        <w:t xml:space="preserve">DESIGN NOTE   </w:t>
      </w:r>
      <w:r>
        <w:rPr>
          <w:rFonts w:ascii="Calibri" w:cs="Calibri" w:eastAsia="Calibri" w:hAnsi="Calibri"/>
          <w:i/>
          <w:iCs/>
          <w:color w:val="4A3A28"/>
          <w:sz w:val="19"/>
          <w:szCs w:val="19"/>
        </w:rPr>
        <w:t xml:space="preserve">The practical effect: you can demo this entire system with the worker desktop turned off. Chat still works, RAG still works, tool calls still work — they just all run on the laptop's own local Python runtime instead of being offloaded. This is worth stating explicitly in a pitch: the distributed architecture is additive capacity, not a single point of failure.</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3  </w:t>
      </w:r>
      <w:r>
        <w:rPr>
          <w:rFonts w:ascii="Georgia" w:cs="Georgia" w:eastAsia="Georgia" w:hAnsi="Georgia"/>
          <w:b/>
          <w:bCs/>
          <w:color w:val="1A1D21"/>
          <w:sz w:val="30"/>
          <w:szCs w:val="30"/>
        </w:rPr>
        <w:t xml:space="preserve">Why the Tool Router Has Five Stages Instead of One LLM Call</w:t>
      </w:r>
    </w:p>
    <w:p>
      <w:pPr>
        <w:spacing w:after="140" w:before="0"/>
      </w:pPr>
      <w:r>
        <w:rPr>
          <w:rFonts w:ascii="Calibri" w:cs="Calibri" w:eastAsia="Calibri" w:hAnsi="Calibri"/>
          <w:b w:val="false"/>
          <w:bCs w:val="false"/>
          <w:i w:val="false"/>
          <w:iCs w:val="false"/>
          <w:color w:val="1A1D21"/>
          <w:sz w:val="21"/>
          <w:szCs w:val="21"/>
        </w:rPr>
        <w:t xml:space="preserve">The naive approach to "does this message need a tool" is: always ask an LLM, always give it the full tool schema, let it decide. That approach has a real cost on local hardware — every extra LLM round-trip is seconds of latency and GPU time you don't get back, and most chat messages don't need tools at all.</w:t>
      </w:r>
    </w:p>
    <w:p>
      <w:pPr>
        <w:spacing w:after="140" w:before="0"/>
      </w:pPr>
      <w:r>
        <w:rPr>
          <w:rFonts w:ascii="Calibri" w:cs="Calibri" w:eastAsia="Calibri" w:hAnsi="Calibri"/>
          <w:b w:val="false"/>
          <w:bCs w:val="false"/>
          <w:i w:val="false"/>
          <w:iCs w:val="false"/>
          <w:color w:val="1A1D21"/>
          <w:sz w:val="21"/>
          <w:szCs w:val="21"/>
        </w:rPr>
        <w:t xml:space="preserve">The five-stage cascade in services/toolRouter.ts front-loads the cheapest possible checks first:</w:t>
      </w:r>
    </w:p>
    <w:tbl>
      <w:tblPr>
        <w:tblW w:type="dxa" w:w="9350"/>
        <w:tblBorders>
          <w:top w:val="single" w:color="D6DDDA" w:sz="4"/>
          <w:left w:val="single" w:color="D6DDDA" w:sz="4"/>
          <w:bottom w:val="single" w:color="D6DDDA" w:sz="4"/>
          <w:right w:val="single" w:color="D6DDDA" w:sz="4"/>
          <w:insideH w:val="single" w:color="D6DDDA" w:sz="2"/>
          <w:insideV w:val="single" w:color="D6DDDA" w:sz="2"/>
        </w:tblBorders>
      </w:tblPr>
      <w:tblGrid>
        <w:gridCol w:w="1900"/>
        <w:gridCol w:w="2600"/>
        <w:gridCol w:w="4850"/>
      </w:tblGrid>
      <w:tr>
        <w:trPr>
          <w:tblHeader/>
        </w:trPr>
        <w:tc>
          <w:tcPr>
            <w:tcW w:type="dxa" w:w="19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Stage</w:t>
            </w:r>
          </w:p>
        </w:tc>
        <w:tc>
          <w:tcPr>
            <w:tcW w:type="dxa" w:w="26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Cost</w:t>
            </w:r>
          </w:p>
        </w:tc>
        <w:tc>
          <w:tcPr>
            <w:tcW w:type="dxa" w:w="485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Catches</w:t>
            </w:r>
          </w:p>
        </w:tc>
      </w:tr>
      <w:tr>
        <w:tc>
          <w:tcPr>
            <w:tcW w:type="dxa" w:w="19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0 — Heuristic</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~0ms, no model call</w:t>
            </w:r>
          </w:p>
        </w:tc>
        <w:tc>
          <w:tcPr>
            <w:tcW w:type="dxa" w:w="4850"/>
            <w:tcMar>
              <w:top w:type="dxa" w:w="80"/>
              <w:left w:type="dxa" w:w="100"/>
              <w:bottom w:type="dxa" w:w="80"/>
              <w:right w:type="dxa" w:w="100"/>
            </w:tcMar>
          </w:tcPr>
          <w:p>
            <w:r>
              <w:rPr>
                <w:rFonts w:ascii="Calibri" w:cs="Calibri" w:eastAsia="Calibri" w:hAnsi="Calibri"/>
                <w:b w:val="false"/>
                <w:bCs w:val="false"/>
                <w:color w:val="1A1D21"/>
                <w:sz w:val="19"/>
                <w:szCs w:val="19"/>
              </w:rPr>
              <w:t xml:space="preserve">"hi", "thanks", "how are you" — the majority of casual turns in any real conversation</w:t>
            </w:r>
          </w:p>
        </w:tc>
      </w:tr>
      <w:tr>
        <w:tc>
          <w:tcPr>
            <w:tcW w:type="dxa" w:w="19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1 — Yes/No gate</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One small, fast model call</w:t>
            </w:r>
          </w:p>
        </w:tc>
        <w:tc>
          <w:tcPr>
            <w:tcW w:type="dxa" w:w="4850"/>
            <w:tcMar>
              <w:top w:type="dxa" w:w="80"/>
              <w:left w:type="dxa" w:w="100"/>
              <w:bottom w:type="dxa" w:w="80"/>
              <w:right w:type="dxa" w:w="100"/>
            </w:tcMar>
          </w:tcPr>
          <w:p>
            <w:r>
              <w:rPr>
                <w:rFonts w:ascii="Calibri" w:cs="Calibri" w:eastAsia="Calibri" w:hAnsi="Calibri"/>
                <w:b w:val="false"/>
                <w:bCs w:val="false"/>
                <w:color w:val="1A1D21"/>
                <w:sz w:val="19"/>
                <w:szCs w:val="19"/>
              </w:rPr>
              <w:t xml:space="preserve">Everything else — a binary decision, not a full tool-selection task</w:t>
            </w:r>
          </w:p>
        </w:tc>
      </w:tr>
      <w:tr>
        <w:tc>
          <w:tcPr>
            <w:tcW w:type="dxa" w:w="19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2 — Regex match</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~0ms, no model call</w:t>
            </w:r>
          </w:p>
        </w:tc>
        <w:tc>
          <w:tcPr>
            <w:tcW w:type="dxa" w:w="4850"/>
            <w:tcMar>
              <w:top w:type="dxa" w:w="80"/>
              <w:left w:type="dxa" w:w="100"/>
              <w:bottom w:type="dxa" w:w="80"/>
              <w:right w:type="dxa" w:w="100"/>
            </w:tcMar>
          </w:tcPr>
          <w:p>
            <w:r>
              <w:rPr>
                <w:rFonts w:ascii="Calibri" w:cs="Calibri" w:eastAsia="Calibri" w:hAnsi="Calibri"/>
                <w:b w:val="false"/>
                <w:bCs w:val="false"/>
                <w:color w:val="1A1D21"/>
                <w:sz w:val="19"/>
                <w:szCs w:val="19"/>
              </w:rPr>
              <w:t xml:space="preserve">Common, well-phrased tool requests ("calculate 15% of 340", "search the web for...")</w:t>
            </w:r>
          </w:p>
        </w:tc>
      </w:tr>
      <w:tr>
        <w:tc>
          <w:tcPr>
            <w:tcW w:type="dxa" w:w="19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3 — Small model fill-in</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One qwen3:0.6b call — the smallest model in the stack</w:t>
            </w:r>
          </w:p>
        </w:tc>
        <w:tc>
          <w:tcPr>
            <w:tcW w:type="dxa" w:w="4850"/>
            <w:tcMar>
              <w:top w:type="dxa" w:w="80"/>
              <w:left w:type="dxa" w:w="100"/>
              <w:bottom w:type="dxa" w:w="80"/>
              <w:right w:type="dxa" w:w="100"/>
            </w:tcMar>
          </w:tcPr>
          <w:p>
            <w:r>
              <w:rPr>
                <w:rFonts w:ascii="Calibri" w:cs="Calibri" w:eastAsia="Calibri" w:hAnsi="Calibri"/>
                <w:b w:val="false"/>
                <w:bCs w:val="false"/>
                <w:color w:val="1A1D21"/>
                <w:sz w:val="19"/>
                <w:szCs w:val="19"/>
              </w:rPr>
              <w:t xml:space="preserve">Whatever Stage 2 couldn't cleanly resolve, with hints from what Stage 2 already found</w:t>
            </w:r>
          </w:p>
        </w:tc>
      </w:tr>
    </w:tbl>
    <w:p>
      <w:pPr>
        <w:spacing w:after="140" w:before="0"/>
      </w:pPr>
      <w:r>
        <w:rPr>
          <w:rFonts w:ascii="Calibri" w:cs="Calibri" w:eastAsia="Calibri" w:hAnsi="Calibri"/>
          <w:b w:val="false"/>
          <w:bCs w:val="false"/>
          <w:i w:val="false"/>
          <w:iCs w:val="false"/>
          <w:color w:val="1A1D21"/>
          <w:sz w:val="21"/>
          <w:szCs w:val="21"/>
        </w:rPr>
        <w:t xml:space="preserve">The key insight embedded in the design: the main chat model (whatever the user selected — potentially a larger, slower model) is used only for the binary yes/no gate at Stage 1, never for full tool selection. Tool selection itself is delegated to a dedicated small model (qwen3:0.6b) at Stage 3, which is fast enough that its cost is negligible even when it does run.</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4  </w:t>
      </w:r>
      <w:r>
        <w:rPr>
          <w:rFonts w:ascii="Georgia" w:cs="Georgia" w:eastAsia="Georgia" w:hAnsi="Georgia"/>
          <w:b/>
          <w:bCs/>
          <w:color w:val="1A1D21"/>
          <w:sz w:val="30"/>
          <w:szCs w:val="30"/>
        </w:rPr>
        <w:t xml:space="preserve">The Repeated Provider-Registry Pattern</w:t>
      </w:r>
    </w:p>
    <w:p>
      <w:pPr>
        <w:spacing w:after="140" w:before="0"/>
      </w:pPr>
      <w:r>
        <w:rPr>
          <w:rFonts w:ascii="Calibri" w:cs="Calibri" w:eastAsia="Calibri" w:hAnsi="Calibri"/>
          <w:b w:val="false"/>
          <w:bCs w:val="false"/>
          <w:i w:val="false"/>
          <w:iCs w:val="false"/>
          <w:color w:val="1A1D21"/>
          <w:sz w:val="21"/>
          <w:szCs w:val="21"/>
        </w:rPr>
        <w:t xml:space="preserve">Three independent subsystems — speech, vision/OCR, and (implicitly) the LLM tool system — converge on the same architectural shape: a thin Registry class, a Provider base interface, and a per-capability set of interchangeable implementations.</w:t>
      </w:r>
    </w:p>
    <w:tbl>
      <w:tblPr>
        <w:tblW w:type="dxa" w:w="9350"/>
        <w:tblBorders>
          <w:top w:val="single" w:color="D6DDDA" w:sz="4"/>
          <w:left w:val="single" w:color="D6DDDA" w:sz="4"/>
          <w:bottom w:val="single" w:color="D6DDDA" w:sz="4"/>
          <w:right w:val="single" w:color="D6DDDA" w:sz="4"/>
          <w:insideH w:val="single" w:color="D6DDDA" w:sz="2"/>
          <w:insideV w:val="single" w:color="D6DDDA" w:sz="2"/>
        </w:tblBorders>
      </w:tblPr>
      <w:tblGrid>
        <w:gridCol w:w="1700"/>
        <w:gridCol w:w="3600"/>
        <w:gridCol w:w="4050"/>
      </w:tblGrid>
      <w:tr>
        <w:trPr>
          <w:tblHeader/>
        </w:trPr>
        <w:tc>
          <w:tcPr>
            <w:tcW w:type="dxa" w:w="17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Subsystem</w:t>
            </w:r>
          </w:p>
        </w:tc>
        <w:tc>
          <w:tcPr>
            <w:tcW w:type="dxa" w:w="36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Registry file</w:t>
            </w:r>
          </w:p>
        </w:tc>
        <w:tc>
          <w:tcPr>
            <w:tcW w:type="dxa" w:w="405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Interchangeable units</w:t>
            </w:r>
          </w:p>
        </w:tc>
      </w:tr>
      <w:tr>
        <w:tc>
          <w:tcPr>
            <w:tcW w:type="dxa" w:w="17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Speech</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speech/manager/providerManager.ts</w:t>
            </w:r>
          </w:p>
        </w:tc>
        <w:tc>
          <w:tcPr>
            <w:tcW w:type="dxa" w:w="4050"/>
            <w:tcMar>
              <w:top w:type="dxa" w:w="80"/>
              <w:left w:type="dxa" w:w="100"/>
              <w:bottom w:type="dxa" w:w="80"/>
              <w:right w:type="dxa" w:w="100"/>
            </w:tcMar>
          </w:tcPr>
          <w:p>
            <w:r>
              <w:rPr>
                <w:rFonts w:ascii="Calibri" w:cs="Calibri" w:eastAsia="Calibri" w:hAnsi="Calibri"/>
                <w:b w:val="false"/>
                <w:bCs w:val="false"/>
                <w:color w:val="1A1D21"/>
                <w:sz w:val="19"/>
                <w:szCs w:val="19"/>
              </w:rPr>
              <w:t xml:space="preserve">kokoro, whisper, xtts, fishspeech, dia, chatterbox, piper</w:t>
            </w:r>
          </w:p>
        </w:tc>
      </w:tr>
      <w:tr>
        <w:tc>
          <w:tcPr>
            <w:tcW w:type="dxa" w:w="17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OCR</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python-runtime/app/providers/ocr/registry.py</w:t>
            </w:r>
          </w:p>
        </w:tc>
        <w:tc>
          <w:tcPr>
            <w:tcW w:type="dxa" w:w="4050"/>
            <w:tcMar>
              <w:top w:type="dxa" w:w="80"/>
              <w:left w:type="dxa" w:w="100"/>
              <w:bottom w:type="dxa" w:w="80"/>
              <w:right w:type="dxa" w:w="100"/>
            </w:tcMar>
          </w:tcPr>
          <w:p>
            <w:r>
              <w:rPr>
                <w:rFonts w:ascii="Calibri" w:cs="Calibri" w:eastAsia="Calibri" w:hAnsi="Calibri"/>
                <w:b w:val="false"/>
                <w:bCs w:val="false"/>
                <w:color w:val="1A1D21"/>
                <w:sz w:val="19"/>
                <w:szCs w:val="19"/>
              </w:rPr>
              <w:t xml:space="preserve">surya, easyocr, paddle, tesseract</w:t>
            </w:r>
          </w:p>
        </w:tc>
      </w:tr>
      <w:tr>
        <w:tc>
          <w:tcPr>
            <w:tcW w:type="dxa" w:w="17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Vision</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python-runtime/app/providers/vision/registry.py</w:t>
            </w:r>
          </w:p>
        </w:tc>
        <w:tc>
          <w:tcPr>
            <w:tcW w:type="dxa" w:w="4050"/>
            <w:tcMar>
              <w:top w:type="dxa" w:w="80"/>
              <w:left w:type="dxa" w:w="100"/>
              <w:bottom w:type="dxa" w:w="80"/>
              <w:right w:type="dxa" w:w="100"/>
            </w:tcMar>
          </w:tcPr>
          <w:p>
            <w:r>
              <w:rPr>
                <w:rFonts w:ascii="Calibri" w:cs="Calibri" w:eastAsia="Calibri" w:hAnsi="Calibri"/>
                <w:b w:val="false"/>
                <w:bCs w:val="false"/>
                <w:color w:val="1A1D21"/>
                <w:sz w:val="19"/>
                <w:szCs w:val="19"/>
              </w:rPr>
              <w:t xml:space="preserve">qwen3vl, minicpm, florence2, internvl</w:t>
            </w:r>
          </w:p>
        </w:tc>
      </w:tr>
      <w:tr>
        <w:tc>
          <w:tcPr>
            <w:tcW w:type="dxa" w:w="17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Layout</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python-runtime/app/providers/layout/registry.py</w:t>
            </w:r>
          </w:p>
        </w:tc>
        <w:tc>
          <w:tcPr>
            <w:tcW w:type="dxa" w:w="4050"/>
            <w:tcMar>
              <w:top w:type="dxa" w:w="80"/>
              <w:left w:type="dxa" w:w="100"/>
              <w:bottom w:type="dxa" w:w="80"/>
              <w:right w:type="dxa" w:w="100"/>
            </w:tcMar>
          </w:tcPr>
          <w:p>
            <w:r>
              <w:rPr>
                <w:rFonts w:ascii="Calibri" w:cs="Calibri" w:eastAsia="Calibri" w:hAnsi="Calibri"/>
                <w:b w:val="false"/>
                <w:bCs w:val="false"/>
                <w:color w:val="1A1D21"/>
                <w:sz w:val="19"/>
                <w:szCs w:val="19"/>
              </w:rPr>
              <w:t xml:space="preserve">surya, doclayout</w:t>
            </w:r>
          </w:p>
        </w:tc>
      </w:tr>
    </w:tbl>
    <w:p>
      <w:pPr>
        <w:spacing w:after="140" w:before="0"/>
      </w:pPr>
      <w:r>
        <w:rPr>
          <w:rFonts w:ascii="Calibri" w:cs="Calibri" w:eastAsia="Calibri" w:hAnsi="Calibri"/>
          <w:b w:val="false"/>
          <w:bCs w:val="false"/>
          <w:i w:val="false"/>
          <w:iCs w:val="false"/>
          <w:color w:val="1A1D21"/>
          <w:sz w:val="21"/>
          <w:szCs w:val="21"/>
        </w:rPr>
        <w:t xml:space="preserve">This wasn't accidental convergence — it's the same design decision applied consistently: never hardcode a call to a specific model implementation at the call site. A call site asks the registry for "the TTS provider" or "the OCR provider" and gets back whatever's currently registered and enabled. Swapping Whisper for a different STT engine, or adding an eighth speech provider, means writing one new provider module and registering it — no existing call site changes.</w:t>
      </w:r>
    </w:p>
    <w:p>
      <w:pPr>
        <w:pBdr>
          <w:top w:val="single" w:color="E0C9A6" w:sz="4"/>
          <w:bottom w:val="single" w:color="E0C9A6" w:sz="4"/>
          <w:left w:val="single" w:color="8A4A15" w:sz="16"/>
          <w:right w:val="single" w:color="E0C9A6" w:sz="4"/>
        </w:pBdr>
        <w:shd w:fill="FBF1E8" w:val="clear"/>
        <w:spacing w:after="160" w:before="40"/>
        <w:ind w:left="160" w:right="160"/>
      </w:pPr>
      <w:r>
        <w:rPr>
          <w:rFonts w:ascii="Consolas" w:cs="Consolas" w:eastAsia="Consolas" w:hAnsi="Consolas"/>
          <w:b/>
          <w:bCs/>
          <w:color w:val="8A4A15"/>
          <w:sz w:val="16"/>
          <w:szCs w:val="16"/>
        </w:rPr>
        <w:t xml:space="preserve">DESIGN NOTE   </w:t>
      </w:r>
      <w:r>
        <w:rPr>
          <w:rFonts w:ascii="Calibri" w:cs="Calibri" w:eastAsia="Calibri" w:hAnsi="Calibri"/>
          <w:i/>
          <w:iCs/>
          <w:color w:val="4A3A28"/>
          <w:sz w:val="19"/>
          <w:szCs w:val="19"/>
        </w:rPr>
        <w:t xml:space="preserve">This is the kind of architectural decision that's easy to under-sell in a demo because it doesn't produce a visible feature — but it's exactly the decision that determines whether adding provider #8 next month takes an afternoon or a week of refactoring.</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5  </w:t>
      </w:r>
      <w:r>
        <w:rPr>
          <w:rFonts w:ascii="Georgia" w:cs="Georgia" w:eastAsia="Georgia" w:hAnsi="Georgia"/>
          <w:b/>
          <w:bCs/>
          <w:color w:val="1A1D21"/>
          <w:sz w:val="30"/>
          <w:szCs w:val="30"/>
        </w:rPr>
        <w:t xml:space="preserve">Why There Are Two Separate Memory Systems</w:t>
      </w:r>
    </w:p>
    <w:p>
      <w:pPr>
        <w:spacing w:after="140" w:before="0"/>
      </w:pPr>
      <w:r>
        <w:rPr>
          <w:rFonts w:ascii="Calibri" w:cs="Calibri" w:eastAsia="Calibri" w:hAnsi="Calibri"/>
          <w:b w:val="false"/>
          <w:bCs w:val="false"/>
          <w:i w:val="false"/>
          <w:iCs w:val="false"/>
          <w:color w:val="1A1D21"/>
          <w:sz w:val="21"/>
          <w:szCs w:val="21"/>
        </w:rPr>
        <w:t xml:space="preserve">The database schema has two structurally identical but functionally separate retrieval systems: the RAG knowledge base (files → fileContents → chunkEmbeddings) and long-term memory (memories → memoryChunks → memoryChunkEmbeddings). It would be simpler to have one.</w:t>
      </w:r>
    </w:p>
    <w:p>
      <w:pPr>
        <w:spacing w:after="140" w:before="0"/>
      </w:pPr>
      <w:r>
        <w:rPr>
          <w:rFonts w:ascii="Calibri" w:cs="Calibri" w:eastAsia="Calibri" w:hAnsi="Calibri"/>
          <w:b w:val="false"/>
          <w:bCs w:val="false"/>
          <w:i w:val="false"/>
          <w:iCs w:val="false"/>
          <w:color w:val="1A1D21"/>
          <w:sz w:val="21"/>
          <w:szCs w:val="21"/>
        </w:rPr>
        <w:t xml:space="preserve">The distinction reflects a real difference in how the two are populated and used:</w:t>
      </w:r>
    </w:p>
    <w:tbl>
      <w:tblPr>
        <w:tblW w:type="dxa" w:w="9350"/>
        <w:tblBorders>
          <w:top w:val="single" w:color="D6DDDA" w:sz="4"/>
          <w:left w:val="single" w:color="D6DDDA" w:sz="4"/>
          <w:bottom w:val="single" w:color="D6DDDA" w:sz="4"/>
          <w:right w:val="single" w:color="D6DDDA" w:sz="4"/>
          <w:insideH w:val="single" w:color="D6DDDA" w:sz="2"/>
          <w:insideV w:val="single" w:color="D6DDDA" w:sz="2"/>
        </w:tblBorders>
      </w:tblPr>
      <w:tblGrid>
        <w:gridCol w:w="1800"/>
        <w:gridCol w:w="3750"/>
        <w:gridCol w:w="3800"/>
      </w:tblGrid>
      <w:tr>
        <w:trPr>
          <w:tblHeader/>
        </w:trPr>
        <w:tc>
          <w:tcPr>
            <w:tcW w:type="dxa" w:w="18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
            </w:r>
          </w:p>
        </w:tc>
        <w:tc>
          <w:tcPr>
            <w:tcW w:type="dxa" w:w="375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RAG Knowledge Base</w:t>
            </w:r>
          </w:p>
        </w:tc>
        <w:tc>
          <w:tcPr>
            <w:tcW w:type="dxa" w:w="38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Long-Term Memory</w:t>
            </w:r>
          </w:p>
        </w:tc>
      </w:tr>
      <w:tr>
        <w:tc>
          <w:tcPr>
            <w:tcW w:type="dxa" w:w="18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Populated by</w:t>
            </w:r>
          </w:p>
        </w:tc>
        <w:tc>
          <w:tcPr>
            <w:tcW w:type="dxa" w:w="3750"/>
            <w:tcMar>
              <w:top w:type="dxa" w:w="80"/>
              <w:left w:type="dxa" w:w="100"/>
              <w:bottom w:type="dxa" w:w="80"/>
              <w:right w:type="dxa" w:w="100"/>
            </w:tcMar>
          </w:tcPr>
          <w:p>
            <w:r>
              <w:rPr>
                <w:rFonts w:ascii="Calibri" w:cs="Calibri" w:eastAsia="Calibri" w:hAnsi="Calibri"/>
                <w:b w:val="false"/>
                <w:bCs w:val="false"/>
                <w:color w:val="1A1D21"/>
                <w:sz w:val="19"/>
                <w:szCs w:val="19"/>
              </w:rPr>
              <w:t xml:space="preserve">User uploads a document</w:t>
            </w:r>
          </w:p>
        </w:tc>
        <w:tc>
          <w:tcPr>
            <w:tcW w:type="dxa" w:w="3800"/>
            <w:tcMar>
              <w:top w:type="dxa" w:w="80"/>
              <w:left w:type="dxa" w:w="100"/>
              <w:bottom w:type="dxa" w:w="80"/>
              <w:right w:type="dxa" w:w="100"/>
            </w:tcMar>
          </w:tcPr>
          <w:p>
            <w:r>
              <w:rPr>
                <w:rFonts w:ascii="Calibri" w:cs="Calibri" w:eastAsia="Calibri" w:hAnsi="Calibri"/>
                <w:b w:val="false"/>
                <w:bCs w:val="false"/>
                <w:color w:val="1A1D21"/>
                <w:sz w:val="19"/>
                <w:szCs w:val="19"/>
              </w:rPr>
              <w:t xml:space="preserve">Extracted automatically from conversation content</w:t>
            </w:r>
          </w:p>
        </w:tc>
      </w:tr>
      <w:tr>
        <w:tc>
          <w:tcPr>
            <w:tcW w:type="dxa" w:w="18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Represents</w:t>
            </w:r>
          </w:p>
        </w:tc>
        <w:tc>
          <w:tcPr>
            <w:tcW w:type="dxa" w:w="3750"/>
            <w:tcMar>
              <w:top w:type="dxa" w:w="80"/>
              <w:left w:type="dxa" w:w="100"/>
              <w:bottom w:type="dxa" w:w="80"/>
              <w:right w:type="dxa" w:w="100"/>
            </w:tcMar>
          </w:tcPr>
          <w:p>
            <w:r>
              <w:rPr>
                <w:rFonts w:ascii="Calibri" w:cs="Calibri" w:eastAsia="Calibri" w:hAnsi="Calibri"/>
                <w:b w:val="false"/>
                <w:bCs w:val="false"/>
                <w:color w:val="1A1D21"/>
                <w:sz w:val="19"/>
                <w:szCs w:val="19"/>
              </w:rPr>
              <w:t xml:space="preserve">Reference material — facts the user brought in</w:t>
            </w:r>
          </w:p>
        </w:tc>
        <w:tc>
          <w:tcPr>
            <w:tcW w:type="dxa" w:w="3800"/>
            <w:tcMar>
              <w:top w:type="dxa" w:w="80"/>
              <w:left w:type="dxa" w:w="100"/>
              <w:bottom w:type="dxa" w:w="80"/>
              <w:right w:type="dxa" w:w="100"/>
            </w:tcMar>
          </w:tcPr>
          <w:p>
            <w:r>
              <w:rPr>
                <w:rFonts w:ascii="Calibri" w:cs="Calibri" w:eastAsia="Calibri" w:hAnsi="Calibri"/>
                <w:b w:val="false"/>
                <w:bCs w:val="false"/>
                <w:color w:val="1A1D21"/>
                <w:sz w:val="19"/>
                <w:szCs w:val="19"/>
              </w:rPr>
              <w:t xml:space="preserve">Things learned about the user or their preferences over time</w:t>
            </w:r>
          </w:p>
        </w:tc>
      </w:tr>
      <w:tr>
        <w:tc>
          <w:tcPr>
            <w:tcW w:type="dxa" w:w="18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Scope</w:t>
            </w:r>
          </w:p>
        </w:tc>
        <w:tc>
          <w:tcPr>
            <w:tcW w:type="dxa" w:w="3750"/>
            <w:tcMar>
              <w:top w:type="dxa" w:w="80"/>
              <w:left w:type="dxa" w:w="100"/>
              <w:bottom w:type="dxa" w:w="80"/>
              <w:right w:type="dxa" w:w="100"/>
            </w:tcMar>
          </w:tcPr>
          <w:p>
            <w:r>
              <w:rPr>
                <w:rFonts w:ascii="Calibri" w:cs="Calibri" w:eastAsia="Calibri" w:hAnsi="Calibri"/>
                <w:b w:val="false"/>
                <w:bCs w:val="false"/>
                <w:color w:val="1A1D21"/>
                <w:sz w:val="19"/>
                <w:szCs w:val="19"/>
              </w:rPr>
              <w:t xml:space="preserve">Can be scoped to specific selectedFiles per query</w:t>
            </w:r>
          </w:p>
        </w:tc>
        <w:tc>
          <w:tcPr>
            <w:tcW w:type="dxa" w:w="3800"/>
            <w:tcMar>
              <w:top w:type="dxa" w:w="80"/>
              <w:left w:type="dxa" w:w="100"/>
              <w:bottom w:type="dxa" w:w="80"/>
              <w:right w:type="dxa" w:w="100"/>
            </w:tcMar>
          </w:tcPr>
          <w:p>
            <w:r>
              <w:rPr>
                <w:rFonts w:ascii="Calibri" w:cs="Calibri" w:eastAsia="Calibri" w:hAnsi="Calibri"/>
                <w:b w:val="false"/>
                <w:bCs w:val="false"/>
                <w:color w:val="1A1D21"/>
                <w:sz w:val="19"/>
                <w:szCs w:val="19"/>
              </w:rPr>
              <w:t xml:space="preserve">Global — always searched</w:t>
            </w:r>
          </w:p>
        </w:tc>
      </w:tr>
      <w:tr>
        <w:tc>
          <w:tcPr>
            <w:tcW w:type="dxa" w:w="18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Tool-exposed?</w:t>
            </w:r>
          </w:p>
        </w:tc>
        <w:tc>
          <w:tcPr>
            <w:tcW w:type="dxa" w:w="3750"/>
            <w:tcMar>
              <w:top w:type="dxa" w:w="80"/>
              <w:left w:type="dxa" w:w="100"/>
              <w:bottom w:type="dxa" w:w="80"/>
              <w:right w:type="dxa" w:w="100"/>
            </w:tcMar>
          </w:tcPr>
          <w:p>
            <w:r>
              <w:rPr>
                <w:rFonts w:ascii="Calibri" w:cs="Calibri" w:eastAsia="Calibri" w:hAnsi="Calibri"/>
                <w:b w:val="false"/>
                <w:bCs w:val="false"/>
                <w:color w:val="1A1D21"/>
                <w:sz w:val="19"/>
                <w:szCs w:val="19"/>
              </w:rPr>
              <w:t xml:space="preserve">Via knowledge_search / file_search tools</w:t>
            </w:r>
          </w:p>
        </w:tc>
        <w:tc>
          <w:tcPr>
            <w:tcW w:type="dxa" w:w="3800"/>
            <w:tcMar>
              <w:top w:type="dxa" w:w="80"/>
              <w:left w:type="dxa" w:w="100"/>
              <w:bottom w:type="dxa" w:w="80"/>
              <w:right w:type="dxa" w:w="100"/>
            </w:tcMar>
          </w:tcPr>
          <w:p>
            <w:r>
              <w:rPr>
                <w:rFonts w:ascii="Calibri" w:cs="Calibri" w:eastAsia="Calibri" w:hAnsi="Calibri"/>
                <w:b w:val="false"/>
                <w:bCs w:val="false"/>
                <w:color w:val="1A1D21"/>
                <w:sz w:val="19"/>
                <w:szCs w:val="19"/>
              </w:rPr>
              <w:t xml:space="preserve">Via memory_store / memory_search / memory_update / memory_delete tools — the model can write to it, not just read</w:t>
            </w:r>
          </w:p>
        </w:tc>
      </w:tr>
    </w:tbl>
    <w:p>
      <w:pPr>
        <w:spacing w:after="140" w:before="0"/>
      </w:pPr>
      <w:r>
        <w:rPr>
          <w:rFonts w:ascii="Calibri" w:cs="Calibri" w:eastAsia="Calibri" w:hAnsi="Calibri"/>
          <w:b w:val="false"/>
          <w:bCs w:val="false"/>
          <w:i w:val="false"/>
          <w:iCs w:val="false"/>
          <w:color w:val="1A1D21"/>
          <w:sz w:val="21"/>
          <w:szCs w:val="21"/>
        </w:rPr>
        <w:t xml:space="preserve">The critical difference is that last row: memory is writable by the model itself during a conversation (memory_store, memory_update, memory_delete are agent tools), while the knowledge base is read-only from the model's perspective — it only changes when the user uploads or deletes a file. Collapsing these into one table would mean either letting the model silently rewrite uploaded documents, or building a permissions layer to prevent it. Keeping them separate sidesteps that problem entirely.</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6  </w:t>
      </w:r>
      <w:r>
        <w:rPr>
          <w:rFonts w:ascii="Georgia" w:cs="Georgia" w:eastAsia="Georgia" w:hAnsi="Georgia"/>
          <w:b/>
          <w:bCs/>
          <w:color w:val="1A1D21"/>
          <w:sz w:val="30"/>
          <w:szCs w:val="30"/>
        </w:rPr>
        <w:t xml:space="preserve">Voice Mode as a Parallel System, Not a Feature Flag</w:t>
      </w:r>
    </w:p>
    <w:p>
      <w:pPr>
        <w:spacing w:after="140" w:before="0"/>
      </w:pPr>
      <w:r>
        <w:rPr>
          <w:rFonts w:ascii="Calibri" w:cs="Calibri" w:eastAsia="Calibri" w:hAnsi="Calibri"/>
          <w:b w:val="false"/>
          <w:bCs w:val="false"/>
          <w:i w:val="false"/>
          <w:iCs w:val="false"/>
          <w:color w:val="1A1D21"/>
          <w:sz w:val="21"/>
          <w:szCs w:val="21"/>
        </w:rPr>
        <w:t xml:space="preserve">Voice conversations use entirely separate database tables (voiceConversations, voiceMessages) and entirely separate service functions (getVoiceConversationMemory vs getConversationMemory, getVoiceConversationMessages vs getConversationMessages) from text chat, rather than a mode flag on the shared conversation table.</w:t>
      </w:r>
    </w:p>
    <w:p>
      <w:pPr>
        <w:spacing w:after="140" w:before="0"/>
      </w:pPr>
      <w:r>
        <w:rPr>
          <w:rFonts w:ascii="Calibri" w:cs="Calibri" w:eastAsia="Calibri" w:hAnsi="Calibri"/>
          <w:b w:val="false"/>
          <w:bCs w:val="false"/>
          <w:i w:val="false"/>
          <w:iCs w:val="false"/>
          <w:color w:val="1A1D21"/>
          <w:sz w:val="21"/>
          <w:szCs w:val="21"/>
        </w:rPr>
        <w:t xml:space="preserve">Inside boot.ts's /api/chat/stream, this shows up as a consistent pattern throughout the whole function:</w:t>
      </w:r>
    </w:p>
    <w:p>
      <w:pPr>
        <w:pBdr>
          <w:left w:val="single" w:color="1F6F5C" w:sz="12"/>
        </w:pBdr>
        <w:shd w:fill="EFF4F2" w:val="clear"/>
        <w:spacing w:after="100"/>
        <w:ind w:left="200"/>
      </w:pPr>
      <w:r>
        <w:rPr>
          <w:rFonts w:ascii="Consolas" w:cs="Consolas" w:eastAsia="Consolas" w:hAnsi="Consolas"/>
          <w:color w:val="263430"/>
          <w:sz w:val="18"/>
          <w:szCs w:val="18"/>
        </w:rPr>
        <w:t xml:space="preserve">if (isVoice) {
  conversationMemory = await getVoiceConversationMemory(body.conversationId);
} else {
  conversationMemory = await getConversationMemory(Number(body.conversationId));
}</w:t>
      </w:r>
    </w:p>
    <w:p>
      <w:pPr>
        <w:spacing w:after="140" w:before="0"/>
      </w:pPr>
      <w:r>
        <w:rPr>
          <w:rFonts w:ascii="Calibri" w:cs="Calibri" w:eastAsia="Calibri" w:hAnsi="Calibri"/>
          <w:b w:val="false"/>
          <w:bCs w:val="false"/>
          <w:i w:val="false"/>
          <w:iCs w:val="false"/>
          <w:color w:val="1A1D21"/>
          <w:sz w:val="21"/>
          <w:szCs w:val="21"/>
        </w:rPr>
        <w:t xml:space="preserve">The trade-off here is duplication (two summarization code paths, two memory-lookup code paths, two DB table families) in exchange for isolation: a bug in voice-conversation summarization cannot corrupt or slow down text conversations, and the two can evolve independently — for instance, voice conversations store a resolved providerId/speechModelId/voiceId directly on the conversation record, a concept that has no equivalent in text chat.</w:t>
      </w:r>
    </w:p>
    <w:p>
      <w:pPr>
        <w:pBdr>
          <w:top w:val="single" w:color="E0C9A6" w:sz="4"/>
          <w:bottom w:val="single" w:color="E0C9A6" w:sz="4"/>
          <w:left w:val="single" w:color="8A4A15" w:sz="16"/>
          <w:right w:val="single" w:color="E0C9A6" w:sz="4"/>
        </w:pBdr>
        <w:shd w:fill="FBF1E8" w:val="clear"/>
        <w:spacing w:after="160" w:before="40"/>
        <w:ind w:left="160" w:right="160"/>
      </w:pPr>
      <w:r>
        <w:rPr>
          <w:rFonts w:ascii="Consolas" w:cs="Consolas" w:eastAsia="Consolas" w:hAnsi="Consolas"/>
          <w:b/>
          <w:bCs/>
          <w:color w:val="8A4A15"/>
          <w:sz w:val="16"/>
          <w:szCs w:val="16"/>
        </w:rPr>
        <w:t xml:space="preserve">DESIGN NOTE   </w:t>
      </w:r>
      <w:r>
        <w:rPr>
          <w:rFonts w:ascii="Calibri" w:cs="Calibri" w:eastAsia="Calibri" w:hAnsi="Calibri"/>
          <w:i/>
          <w:iCs/>
          <w:color w:val="4A3A28"/>
          <w:sz w:val="19"/>
          <w:szCs w:val="19"/>
        </w:rPr>
        <w:t xml:space="preserve">Given more time, unifying these behind a shared interface with a mode discriminator would reduce duplication — this is a reasonable place to describe as a known refactor opportunity if asked, rather than something overlooked.</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7  </w:t>
      </w:r>
      <w:r>
        <w:rPr>
          <w:rFonts w:ascii="Georgia" w:cs="Georgia" w:eastAsia="Georgia" w:hAnsi="Georgia"/>
          <w:b/>
          <w:bCs/>
          <w:color w:val="1A1D21"/>
          <w:sz w:val="30"/>
          <w:szCs w:val="30"/>
        </w:rPr>
        <w:t xml:space="preserve">Streaming Sentence-Level TTS: A Latency-Driven Design</w:t>
      </w:r>
    </w:p>
    <w:p>
      <w:pPr>
        <w:spacing w:after="140" w:before="0"/>
      </w:pPr>
      <w:r>
        <w:rPr>
          <w:rFonts w:ascii="Calibri" w:cs="Calibri" w:eastAsia="Calibri" w:hAnsi="Calibri"/>
          <w:b w:val="false"/>
          <w:bCs w:val="false"/>
          <w:i w:val="false"/>
          <w:iCs w:val="false"/>
          <w:color w:val="1A1D21"/>
          <w:sz w:val="21"/>
          <w:szCs w:val="21"/>
        </w:rPr>
        <w:t xml:space="preserve">The straightforward way to add voice output to a streaming chat response is: wait for the full text response, then synthesize it as one audio clip. This system does not do that — it synthesizes sentence-by-sentence as tokens arrive, because the alternative means the user waits for the entire LLM response to finish generating before hearing a single word, which for a long response can be many seconds of dead air.</w:t>
      </w:r>
    </w:p>
    <w:p>
      <w:pPr>
        <w:spacing w:after="140" w:before="0"/>
      </w:pPr>
      <w:r>
        <w:rPr>
          <w:rFonts w:ascii="Calibri" w:cs="Calibri" w:eastAsia="Calibri" w:hAnsi="Calibri"/>
          <w:b w:val="false"/>
          <w:bCs w:val="false"/>
          <w:i w:val="false"/>
          <w:iCs w:val="false"/>
          <w:color w:val="1A1D21"/>
          <w:sz w:val="21"/>
          <w:szCs w:val="21"/>
        </w:rPr>
        <w:t xml:space="preserve">The sentence-boundary detector has to handle real edge cases that a naive split-on-period approach gets wrong:</w:t>
      </w:r>
    </w:p>
    <w:p>
      <w:pPr>
        <w:pStyle w:val="ListParagraph"/>
        <w:numPr>
          <w:ilvl w:val="0"/>
          <w:numId w:val="2"/>
        </w:numPr>
        <w:spacing w:after="70"/>
      </w:pPr>
      <w:r>
        <w:rPr>
          <w:rFonts w:ascii="Calibri" w:cs="Calibri" w:eastAsia="Calibri" w:hAnsi="Calibri"/>
          <w:color w:val="1A1D21"/>
          <w:sz w:val="20"/>
          <w:szCs w:val="20"/>
        </w:rPr>
        <w:t xml:space="preserve">"The GPU uses 3.14 GB" — a period followed by a digit is a decimal, not a sentence end.</w:t>
      </w:r>
    </w:p>
    <w:p>
      <w:pPr>
        <w:pStyle w:val="ListParagraph"/>
        <w:numPr>
          <w:ilvl w:val="0"/>
          <w:numId w:val="2"/>
        </w:numPr>
        <w:spacing w:after="70"/>
      </w:pPr>
      <w:r>
        <w:rPr>
          <w:rFonts w:ascii="Calibri" w:cs="Calibri" w:eastAsia="Calibri" w:hAnsi="Calibri"/>
          <w:color w:val="1A1D21"/>
          <w:sz w:val="20"/>
          <w:szCs w:val="20"/>
        </w:rPr>
        <w:t xml:space="preserve">"Dr. Smith explained..." — a period after a known abbreviation is not a sentence end.</w:t>
      </w:r>
    </w:p>
    <w:p>
      <w:pPr>
        <w:pStyle w:val="ListParagraph"/>
        <w:numPr>
          <w:ilvl w:val="0"/>
          <w:numId w:val="2"/>
        </w:numPr>
        <w:spacing w:after="70"/>
      </w:pPr>
      <w:r>
        <w:rPr>
          <w:rFonts w:ascii="Calibri" w:cs="Calibri" w:eastAsia="Calibri" w:hAnsi="Calibri"/>
          <w:color w:val="1A1D21"/>
          <w:sz w:val="20"/>
          <w:szCs w:val="20"/>
        </w:rPr>
        <w:t xml:space="preserve">"...as seen in the U.S. today" — a period after a single uppercase letter that itself follows a period or space is a mid-abbreviation period, not a sentence end.</w:t>
      </w:r>
    </w:p>
    <w:p>
      <w:pPr>
        <w:pStyle w:val="ListParagraph"/>
        <w:numPr>
          <w:ilvl w:val="0"/>
          <w:numId w:val="2"/>
        </w:numPr>
        <w:spacing w:after="70"/>
      </w:pPr>
      <w:r>
        <w:rPr>
          <w:rFonts w:ascii="Calibri" w:cs="Calibri" w:eastAsia="Calibri" w:hAnsi="Calibri"/>
          <w:color w:val="1A1D21"/>
          <w:sz w:val="20"/>
          <w:szCs w:val="20"/>
        </w:rPr>
        <w:t xml:space="preserve">"!" and "?" are always treated as genuine boundaries, since these don't have the same ambiguity as "."</w:t>
      </w:r>
    </w:p>
    <w:p>
      <w:pPr>
        <w:spacing w:after="140" w:before="0"/>
      </w:pPr>
      <w:r>
        <w:rPr>
          <w:rFonts w:ascii="Calibri" w:cs="Calibri" w:eastAsia="Calibri" w:hAnsi="Calibri"/>
          <w:b w:val="false"/>
          <w:bCs w:val="false"/>
          <w:i w:val="false"/>
          <w:iCs w:val="false"/>
          <w:color w:val="1A1D21"/>
          <w:sz w:val="21"/>
          <w:szCs w:val="21"/>
        </w:rPr>
        <w:t xml:space="preserve">Each detected sentence is dispatched as an independent async synthesis task (pendingSpeechTasks), so multiple sentences can be synthesizing concurrently while the LLM continues generating the next part of the response — synthesis and generation overlap in time rather than happening strictly in sequence.</w:t>
      </w:r>
    </w:p>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8  </w:t>
      </w:r>
      <w:r>
        <w:rPr>
          <w:rFonts w:ascii="Georgia" w:cs="Georgia" w:eastAsia="Georgia" w:hAnsi="Georgia"/>
          <w:b/>
          <w:bCs/>
          <w:color w:val="1A1D21"/>
          <w:sz w:val="30"/>
          <w:szCs w:val="30"/>
        </w:rPr>
        <w:t xml:space="preserve">Known Trade-offs &amp; Honest Limitations</w:t>
      </w:r>
    </w:p>
    <w:p>
      <w:pPr>
        <w:spacing w:after="140" w:before="0"/>
      </w:pPr>
      <w:r>
        <w:rPr>
          <w:rFonts w:ascii="Calibri" w:cs="Calibri" w:eastAsia="Calibri" w:hAnsi="Calibri"/>
          <w:b w:val="false"/>
          <w:bCs w:val="false"/>
          <w:i w:val="false"/>
          <w:iCs w:val="false"/>
          <w:color w:val="1A1D21"/>
          <w:sz w:val="21"/>
          <w:szCs w:val="21"/>
        </w:rPr>
        <w:t xml:space="preserve">A pitch is stronger when it preempts the obvious follow-up questions rather than waiting to be asked. These are trade-offs made consciously, appropriate for the current scope, and worth naming directly if asked.</w:t>
      </w:r>
    </w:p>
    <w:tbl>
      <w:tblPr>
        <w:tblW w:type="dxa" w:w="9350"/>
        <w:tblBorders>
          <w:top w:val="single" w:color="D6DDDA" w:sz="4"/>
          <w:left w:val="single" w:color="D6DDDA" w:sz="4"/>
          <w:bottom w:val="single" w:color="D6DDDA" w:sz="4"/>
          <w:right w:val="single" w:color="D6DDDA" w:sz="4"/>
          <w:insideH w:val="single" w:color="D6DDDA" w:sz="2"/>
          <w:insideV w:val="single" w:color="D6DDDA" w:sz="2"/>
        </w:tblBorders>
      </w:tblPr>
      <w:tblGrid>
        <w:gridCol w:w="2100"/>
        <w:gridCol w:w="3600"/>
        <w:gridCol w:w="3650"/>
      </w:tblGrid>
      <w:tr>
        <w:trPr>
          <w:tblHeader/>
        </w:trPr>
        <w:tc>
          <w:tcPr>
            <w:tcW w:type="dxa" w:w="21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Trade-off</w:t>
            </w:r>
          </w:p>
        </w:tc>
        <w:tc>
          <w:tcPr>
            <w:tcW w:type="dxa" w:w="360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Current state</w:t>
            </w:r>
          </w:p>
        </w:tc>
        <w:tc>
          <w:tcPr>
            <w:tcW w:type="dxa" w:w="3650"/>
            <w:shd w:fill="E3EEEA" w:val="clear"/>
            <w:tcMar>
              <w:top w:type="dxa" w:w="80"/>
              <w:left w:type="dxa" w:w="100"/>
              <w:bottom w:type="dxa" w:w="80"/>
              <w:right w:type="dxa" w:w="100"/>
            </w:tcMar>
          </w:tcPr>
          <w:p>
            <w:r>
              <w:rPr>
                <w:rFonts w:ascii="Calibri" w:cs="Calibri" w:eastAsia="Calibri" w:hAnsi="Calibri"/>
                <w:b/>
                <w:bCs/>
                <w:color w:val="1A1D21"/>
                <w:sz w:val="19"/>
                <w:szCs w:val="19"/>
              </w:rPr>
              <w:t xml:space="preserve">Why it's acceptable now</w:t>
            </w:r>
          </w:p>
        </w:tc>
      </w:tr>
      <w:tr>
        <w:tc>
          <w:tcPr>
            <w:tcW w:type="dxa" w:w="21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Vector search performance</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Embeddings stored as JSON, similarity computed in application code, not in-database</w:t>
            </w:r>
          </w:p>
        </w:tc>
        <w:tc>
          <w:tcPr>
            <w:tcW w:type="dxa" w:w="3650"/>
            <w:tcMar>
              <w:top w:type="dxa" w:w="80"/>
              <w:left w:type="dxa" w:w="100"/>
              <w:bottom w:type="dxa" w:w="80"/>
              <w:right w:type="dxa" w:w="100"/>
            </w:tcMar>
          </w:tcPr>
          <w:p>
            <w:r>
              <w:rPr>
                <w:rFonts w:ascii="Calibri" w:cs="Calibri" w:eastAsia="Calibri" w:hAnsi="Calibri"/>
                <w:b w:val="false"/>
                <w:bCs w:val="false"/>
                <w:color w:val="1A1D21"/>
                <w:sz w:val="19"/>
                <w:szCs w:val="19"/>
              </w:rPr>
              <w:t xml:space="preserve">Fine at single-user, thousands-of-chunks scale; would need a real vector index (pgvector, a dedicated vector DB) before scaling to many users or a large corpus</w:t>
            </w:r>
          </w:p>
        </w:tc>
      </w:tr>
      <w:tr>
        <w:tc>
          <w:tcPr>
            <w:tcW w:type="dxa" w:w="21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Cluster security</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No auth token on worker registration, plaintext HTTP, hardcoded master IP</w:t>
            </w:r>
          </w:p>
        </w:tc>
        <w:tc>
          <w:tcPr>
            <w:tcW w:type="dxa" w:w="3650"/>
            <w:tcMar>
              <w:top w:type="dxa" w:w="80"/>
              <w:left w:type="dxa" w:w="100"/>
              <w:bottom w:type="dxa" w:w="80"/>
              <w:right w:type="dxa" w:w="100"/>
            </w:tcMar>
          </w:tcPr>
          <w:p>
            <w:r>
              <w:rPr>
                <w:rFonts w:ascii="Calibri" w:cs="Calibri" w:eastAsia="Calibri" w:hAnsi="Calibri"/>
                <w:b w:val="false"/>
                <w:bCs w:val="false"/>
                <w:color w:val="1A1D21"/>
                <w:sz w:val="19"/>
                <w:szCs w:val="19"/>
              </w:rPr>
              <w:t xml:space="preserve">Reasonable for a trusted two-machine home LAN; would need mutual auth and TLS before any untrusted-network deployment</w:t>
            </w:r>
          </w:p>
        </w:tc>
      </w:tr>
      <w:tr>
        <w:tc>
          <w:tcPr>
            <w:tcW w:type="dxa" w:w="21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Worker registry persistence</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In-memory Map, rebuilt from nothing on master restart</w:t>
            </w:r>
          </w:p>
        </w:tc>
        <w:tc>
          <w:tcPr>
            <w:tcW w:type="dxa" w:w="3650"/>
            <w:tcMar>
              <w:top w:type="dxa" w:w="80"/>
              <w:left w:type="dxa" w:w="100"/>
              <w:bottom w:type="dxa" w:w="80"/>
              <w:right w:type="dxa" w:w="100"/>
            </w:tcMar>
          </w:tcPr>
          <w:p>
            <w:r>
              <w:rPr>
                <w:rFonts w:ascii="Calibri" w:cs="Calibri" w:eastAsia="Calibri" w:hAnsi="Calibri"/>
                <w:b w:val="false"/>
                <w:bCs w:val="false"/>
                <w:color w:val="1A1D21"/>
                <w:sz w:val="19"/>
                <w:szCs w:val="19"/>
              </w:rPr>
              <w:t xml:space="preserve">Workers self-register within 5 seconds of the master coming back up, so this self-heals quickly in practice</w:t>
            </w:r>
          </w:p>
        </w:tc>
      </w:tr>
      <w:tr>
        <w:tc>
          <w:tcPr>
            <w:tcW w:type="dxa" w:w="2100"/>
            <w:tcMar>
              <w:top w:type="dxa" w:w="80"/>
              <w:left w:type="dxa" w:w="100"/>
              <w:bottom w:type="dxa" w:w="80"/>
              <w:right w:type="dxa" w:w="100"/>
            </w:tcMar>
          </w:tcPr>
          <w:p>
            <w:r>
              <w:rPr>
                <w:rFonts w:ascii="Consolas" w:cs="Consolas" w:eastAsia="Consolas" w:hAnsi="Consolas"/>
                <w:b w:val="false"/>
                <w:bCs w:val="false"/>
                <w:color w:val="154E42"/>
                <w:sz w:val="16"/>
                <w:szCs w:val="16"/>
              </w:rPr>
              <w:t xml:space="preserve">Voice/text duplication</w:t>
            </w:r>
          </w:p>
        </w:tc>
        <w:tc>
          <w:tcPr>
            <w:tcW w:type="dxa" w:w="3600"/>
            <w:tcMar>
              <w:top w:type="dxa" w:w="80"/>
              <w:left w:type="dxa" w:w="100"/>
              <w:bottom w:type="dxa" w:w="80"/>
              <w:right w:type="dxa" w:w="100"/>
            </w:tcMar>
          </w:tcPr>
          <w:p>
            <w:r>
              <w:rPr>
                <w:rFonts w:ascii="Calibri" w:cs="Calibri" w:eastAsia="Calibri" w:hAnsi="Calibri"/>
                <w:b w:val="false"/>
                <w:bCs w:val="false"/>
                <w:color w:val="1A1D21"/>
                <w:sz w:val="19"/>
                <w:szCs w:val="19"/>
              </w:rPr>
              <w:t xml:space="preserve">Parallel table and service-function sets for voice vs text conversations</w:t>
            </w:r>
          </w:p>
        </w:tc>
        <w:tc>
          <w:tcPr>
            <w:tcW w:type="dxa" w:w="3650"/>
            <w:tcMar>
              <w:top w:type="dxa" w:w="80"/>
              <w:left w:type="dxa" w:w="100"/>
              <w:bottom w:type="dxa" w:w="80"/>
              <w:right w:type="dxa" w:w="100"/>
            </w:tcMar>
          </w:tcPr>
          <w:p>
            <w:r>
              <w:rPr>
                <w:rFonts w:ascii="Calibri" w:cs="Calibri" w:eastAsia="Calibri" w:hAnsi="Calibri"/>
                <w:b w:val="false"/>
                <w:bCs w:val="false"/>
                <w:color w:val="1A1D21"/>
                <w:sz w:val="19"/>
                <w:szCs w:val="19"/>
              </w:rPr>
              <w:t xml:space="preserve">Trades some code duplication for strong isolation between the two modes — a deliberate, revisitable choice, not an oversight</w:t>
            </w:r>
          </w:p>
        </w:tc>
      </w:tr>
    </w:tbl>
    <w:p>
      <w:r>
        <w:br w:type="page"/>
      </w:r>
    </w:p>
    <w:p>
      <w:pPr>
        <w:pStyle w:val="Heading1"/>
        <w:pBdr>
          <w:bottom w:val="single" w:color="1F6F5C" w:sz="6"/>
        </w:pBdr>
        <w:spacing w:after="200" w:before="420"/>
      </w:pPr>
      <w:r>
        <w:rPr>
          <w:rFonts w:ascii="Georgia" w:cs="Georgia" w:eastAsia="Georgia" w:hAnsi="Georgia"/>
          <w:b/>
          <w:bCs/>
          <w:color w:val="1F6F5C"/>
          <w:sz w:val="30"/>
          <w:szCs w:val="30"/>
        </w:rPr>
        <w:t xml:space="preserve">9  </w:t>
      </w:r>
      <w:r>
        <w:rPr>
          <w:rFonts w:ascii="Georgia" w:cs="Georgia" w:eastAsia="Georgia" w:hAnsi="Georgia"/>
          <w:b/>
          <w:bCs/>
          <w:color w:val="1A1D21"/>
          <w:sz w:val="30"/>
          <w:szCs w:val="30"/>
        </w:rPr>
        <w:t xml:space="preserve">Summary</w:t>
      </w:r>
    </w:p>
    <w:p>
      <w:pPr>
        <w:spacing w:after="140" w:before="0"/>
      </w:pPr>
      <w:r>
        <w:rPr>
          <w:rFonts w:ascii="Calibri" w:cs="Calibri" w:eastAsia="Calibri" w:hAnsi="Calibri"/>
          <w:b w:val="false"/>
          <w:bCs w:val="false"/>
          <w:i w:val="false"/>
          <w:iCs w:val="false"/>
          <w:color w:val="1A1D21"/>
          <w:sz w:val="21"/>
          <w:szCs w:val="21"/>
        </w:rPr>
        <w:t xml:space="preserve">Every architectural decision documented above traces back to one of three drivers: a real hardware constraint (shared GPU memory forcing the master/worker split and the quantized Flux workflow), a real latency concern (the five-stage tool router, sentence-level streaming TTS), or a real reliability incident that was diagnosed and fixed (the six issues catalogued in the EDS's Section 9, each with root cause and fix documented directly in the source).</w:t>
      </w:r>
    </w:p>
    <w:p>
      <w:pPr>
        <w:spacing w:after="140" w:before="0"/>
      </w:pPr>
      <w:r>
        <w:rPr>
          <w:rFonts w:ascii="Calibri" w:cs="Calibri" w:eastAsia="Calibri" w:hAnsi="Calibri"/>
          <w:b w:val="false"/>
          <w:bCs w:val="false"/>
          <w:i w:val="false"/>
          <w:iCs w:val="false"/>
          <w:color w:val="1A1D21"/>
          <w:sz w:val="21"/>
          <w:szCs w:val="21"/>
        </w:rPr>
        <w:t xml:space="preserve">None of this is architecture chosen because it looked impressive on a diagram — each piece is a response to something that actually broke, actually was too slow, or actually ran out of memory during development. That's the strongest thing to lead with in a pitch: this is a system that has been debugged against real failure, not just built once and left untested.</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B6470"/>
        <w:sz w:val="16"/>
        <w:szCs w:val="16"/>
      </w:rPr>
      <w:t xml:space="preserve">Page </w:t>
    </w:r>
    <w:r>
      <w:rPr>
        <w:rFonts w:ascii="Consolas" w:cs="Consolas" w:eastAsia="Consolas" w:hAnsi="Consolas"/>
        <w:color w:val="5B6470"/>
        <w:sz w:val="16"/>
        <w:szCs w:val="16"/>
      </w:rPr>
      <w:fldChar w:fldCharType="begin"/>
      <w:instrText xml:space="preserve">PAGE</w:instrText>
      <w:fldChar w:fldCharType="separate"/>
      <w:fldChar w:fldCharType="end"/>
    </w:r>
    <w:r>
      <w:rPr>
        <w:rFonts w:ascii="Consolas" w:cs="Consolas" w:eastAsia="Consolas" w:hAnsi="Consolas"/>
        <w:color w:val="5B6470"/>
        <w:sz w:val="16"/>
        <w:szCs w:val="16"/>
      </w:rPr>
      <w:t xml:space="preserve"> of </w:t>
    </w:r>
    <w:r>
      <w:rPr>
        <w:rFonts w:ascii="Consolas" w:cs="Consolas" w:eastAsia="Consolas" w:hAnsi="Consolas"/>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DDA" w:sz="2"/>
      </w:pBdr>
      <w:tabs>
        <w:tab w:val="right" w:pos="9026"/>
      </w:tabs>
    </w:pPr>
    <w:r>
      <w:rPr>
        <w:rFonts w:ascii="Consolas" w:cs="Consolas" w:eastAsia="Consolas" w:hAnsi="Consolas"/>
        <w:color w:val="5B6470"/>
        <w:sz w:val="14"/>
        <w:szCs w:val="14"/>
      </w:rPr>
      <w:t xml:space="preserve">ARCHITECTURAL NOTES — DESIGN RATIONALE</w:t>
    </w:r>
    <w:r>
      <w:rPr>
        <w:rFonts w:ascii="Consolas" w:cs="Consolas" w:eastAsia="Consolas" w:hAnsi="Consolas"/>
        <w:sz w:val="14"/>
        <w:szCs w:val="14"/>
      </w:rPr>
      <w:t xml:space="preserve">	</w:t>
    </w:r>
    <w:r>
      <w:rPr>
        <w:rFonts w:ascii="Consolas" w:cs="Consolas" w:eastAsia="Consolas" w:hAnsi="Consolas"/>
        <w:color w:val="5B6470"/>
        <w:sz w:val="14"/>
        <w:szCs w:val="14"/>
      </w:rPr>
      <w:t xml:space="preserve">COMPANION TO 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2026-07-19T23:25:04.013Z</dcterms:created>
  <dcterms:modified xsi:type="dcterms:W3CDTF">2026-07-19T23:25:04.013Z</dcterms:modified>
</cp:coreProperties>
</file>

<file path=docProps/custom.xml><?xml version="1.0" encoding="utf-8"?>
<Properties xmlns="http://schemas.openxmlformats.org/officeDocument/2006/custom-properties" xmlns:vt="http://schemas.openxmlformats.org/officeDocument/2006/docPropsVTypes"/>
</file>