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left"/>
      </w:pPr>
      <w:r>
        <w:rPr>
          <w:rFonts w:ascii="Consolas" w:cs="Consolas" w:eastAsia="Consolas" w:hAnsi="Consolas"/>
          <w:color w:val="5B6470"/>
          <w:sz w:val="20"/>
          <w:szCs w:val="20"/>
        </w:rPr>
        <w:t xml:space="preserve">ENGINEERING DESIGN SPECIFICATION</w:t>
      </w:r>
    </w:p>
    <w:p>
      <w:pPr>
        <w:spacing w:after="100" w:before="200"/>
      </w:pPr>
      <w:r>
        <w:rPr>
          <w:rFonts w:ascii="Georgia" w:cs="Georgia" w:eastAsia="Georgia" w:hAnsi="Georgia"/>
          <w:b/>
          <w:bCs/>
          <w:color w:val="1A1D21"/>
          <w:sz w:val="56"/>
          <w:szCs w:val="56"/>
        </w:rPr>
        <w:t xml:space="preserve">Local LLM Chatbot Workstation</w:t>
      </w:r>
    </w:p>
    <w:p>
      <w:pPr>
        <w:spacing w:after="500"/>
      </w:pPr>
      <w:r>
        <w:rPr>
          <w:rFonts w:ascii="Georgia" w:cs="Georgia" w:eastAsia="Georgia" w:hAnsi="Georgia"/>
          <w:i/>
          <w:iCs/>
          <w:color w:val="8A4A15"/>
          <w:sz w:val="26"/>
          <w:szCs w:val="26"/>
        </w:rPr>
        <w:t xml:space="preserve">Distributed Multi-Agent AI System — Master / Worker Cluster Architecture</w:t>
      </w:r>
    </w:p>
    <w:p>
      <w:pPr>
        <w:pBdr>
          <w:top w:val="single" w:color="D8D2C8" w:sz="4"/>
        </w:pBdr>
        <w:spacing w:after="60" w:before="300"/>
      </w:pPr>
      <w:r>
        <w:rPr>
          <w:rFonts w:ascii="Consolas" w:cs="Consolas" w:eastAsia="Consolas" w:hAnsi="Consolas"/>
          <w:color w:val="5B6470"/>
          <w:sz w:val="18"/>
          <w:szCs w:val="18"/>
        </w:rPr>
        <w:t xml:space="preserve">Document Class:  Engineering Design Specification (EDS)</w:t>
      </w:r>
    </w:p>
    <w:p>
      <w:pPr>
        <w:spacing w:after="140" w:before="0"/>
        <w:jc w:val="left"/>
      </w:pPr>
      <w:r>
        <w:rPr>
          <w:rFonts w:ascii="Calibri" w:cs="Calibri" w:eastAsia="Calibri" w:hAnsi="Calibri"/>
          <w:b w:val="false"/>
          <w:bCs w:val="false"/>
          <w:i w:val="false"/>
          <w:iCs w:val="false"/>
          <w:color w:val="5B6470"/>
          <w:sz w:val="19"/>
          <w:szCs w:val="19"/>
        </w:rPr>
        <w:t xml:space="preserve">Scope: Full-stack architecture — API master node, distributed worker node, local speech and vision runtimes, image generation pipeline, relational data layer, and static frontend.</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0  </w:t>
      </w:r>
      <w:r>
        <w:rPr>
          <w:rFonts w:ascii="Georgia" w:cs="Georgia" w:eastAsia="Georgia" w:hAnsi="Georgia"/>
          <w:b/>
          <w:bCs/>
          <w:color w:val="1A1D21"/>
          <w:sz w:val="30"/>
          <w:szCs w:val="30"/>
        </w:rPr>
        <w:t xml:space="preserve">Executive Summary</w:t>
      </w:r>
    </w:p>
    <w:p>
      <w:pPr>
        <w:spacing w:after="140" w:before="0"/>
        <w:jc w:val="left"/>
      </w:pPr>
      <w:r>
        <w:rPr>
          <w:rFonts w:ascii="Calibri" w:cs="Calibri" w:eastAsia="Calibri" w:hAnsi="Calibri"/>
          <w:b w:val="false"/>
          <w:bCs w:val="false"/>
          <w:i w:val="false"/>
          <w:iCs w:val="false"/>
          <w:color w:val="1A1D21"/>
          <w:sz w:val="21"/>
          <w:szCs w:val="21"/>
        </w:rPr>
        <w:t xml:space="preserve">This system is a distributed, locally-hosted multi-agent AI workstation. Rather than a single monolithic chatbot, it is a small cluster: a laptop running the master node (API server, database, LLM router) and a desktop with an RTX 4050 GPU registered as a worker node that accepts offloaded compute — OCR, vision, image generation preparation, and speech synthesis/recognition. Every subsystem below is documented directly against the source files actually present in the codebase; no component described here is aspirational.</w:t>
      </w:r>
    </w:p>
    <w:p>
      <w:pPr>
        <w:pStyle w:val="Heading3"/>
        <w:spacing w:after="100" w:before="200"/>
      </w:pPr>
      <w:r>
        <w:rPr>
          <w:rFonts w:ascii="Calibri" w:cs="Calibri" w:eastAsia="Calibri" w:hAnsi="Calibri"/>
          <w:b/>
          <w:bCs/>
          <w:color w:val="1A1D21"/>
          <w:sz w:val="21"/>
          <w:szCs w:val="21"/>
        </w:rPr>
        <w:t xml:space="preserve">System at a glance</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1700"/>
        <w:gridCol w:w="3300"/>
        <w:gridCol w:w="4350"/>
      </w:tblGrid>
      <w:tr>
        <w:trPr>
          <w:tblHeader/>
        </w:trPr>
        <w:tc>
          <w:tcPr>
            <w:tcW w:type="dxa" w:w="17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Layer</w:t>
            </w:r>
          </w:p>
        </w:tc>
        <w:tc>
          <w:tcPr>
            <w:tcW w:type="dxa" w:w="33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Technology</w:t>
            </w:r>
          </w:p>
        </w:tc>
        <w:tc>
          <w:tcPr>
            <w:tcW w:type="dxa" w:w="43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Role</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API Master</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Hono + tRPC (superjson) + Drizzle ORM</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boot.ts composition root; 35 REST routes + 12 typed tRPC routers</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LLM Inference</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Ollama (localhost:11434)</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Local model serving — generation, tool-routing gate, embeddings</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Worker Node</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Hono (src-worker)</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Remote compute — tool execution, OCR/vision, speech proxying</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Python Runtime</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FastAPI (port 8002), both nodes</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OCR / vision / layout / PDF provider registry</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Speech Runtime</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FastAPI (port 9000), manual start</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7-engine TTS/STT provider registry</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Image Generation</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ComfyUI (localhost:8188)</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Flux1-schnell GGUF diffusion pipeline</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Database</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MySQL via Drizzle ORM</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25 tables — chat, RAG, memory, voice, telemetry</w:t>
            </w:r>
          </w:p>
        </w:tc>
      </w:tr>
      <w:tr>
        <w:tc>
          <w:tcPr>
            <w:tcW w:type="dxa" w:w="17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Frontend</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Static HTML/CSS/vanilla JS, 9 pages</w:t>
            </w:r>
          </w:p>
        </w:tc>
        <w:tc>
          <w:tcPr>
            <w:tcW w:type="dxa" w:w="4350"/>
            <w:tcMar>
              <w:top w:type="dxa" w:w="80"/>
              <w:left w:type="dxa" w:w="100"/>
              <w:bottom w:type="dxa" w:w="80"/>
              <w:right w:type="dxa" w:w="100"/>
            </w:tcMar>
          </w:tcPr>
          <w:p>
            <w:r>
              <w:rPr>
                <w:rFonts w:ascii="Calibri" w:cs="Calibri" w:eastAsia="Calibri" w:hAnsi="Calibri"/>
                <w:b w:val="false"/>
                <w:bCs w:val="false"/>
                <w:color w:val="1A1D21"/>
                <w:sz w:val="19"/>
                <w:szCs w:val="19"/>
              </w:rPr>
              <w:t xml:space="preserve">No SPA framework; served by boot.ts in production</w:t>
            </w:r>
          </w:p>
        </w:tc>
      </w:tr>
    </w:tbl>
    <w:p>
      <w:pPr>
        <w:pStyle w:val="Heading1"/>
        <w:pBdr>
          <w:bottom w:val="single" w:color="B5651D" w:sz="6"/>
        </w:pBdr>
        <w:spacing w:after="200" w:before="420"/>
      </w:pPr>
      <w:r>
        <w:rPr>
          <w:rFonts w:ascii="Georgia" w:cs="Georgia" w:eastAsia="Georgia" w:hAnsi="Georgia"/>
          <w:b/>
          <w:bCs/>
          <w:color w:val="B5651D"/>
          <w:sz w:val="30"/>
          <w:szCs w:val="30"/>
        </w:rPr>
        <w:t xml:space="preserve">1  </w:t>
      </w:r>
      <w:r>
        <w:rPr>
          <w:rFonts w:ascii="Georgia" w:cs="Georgia" w:eastAsia="Georgia" w:hAnsi="Georgia"/>
          <w:b/>
          <w:bCs/>
          <w:color w:val="1A1D21"/>
          <w:sz w:val="30"/>
          <w:szCs w:val="30"/>
        </w:rPr>
        <w:t xml:space="preserve">System Architecture</w:t>
      </w:r>
    </w:p>
    <w:p>
      <w:pPr>
        <w:spacing w:after="140" w:before="0"/>
        <w:jc w:val="left"/>
      </w:pPr>
      <w:r>
        <w:rPr>
          <w:rFonts w:ascii="Calibri" w:cs="Calibri" w:eastAsia="Calibri" w:hAnsi="Calibri"/>
          <w:b w:val="false"/>
          <w:bCs w:val="false"/>
          <w:i w:val="false"/>
          <w:iCs w:val="false"/>
          <w:color w:val="1A1D21"/>
          <w:sz w:val="21"/>
          <w:szCs w:val="21"/>
        </w:rPr>
        <w:t xml:space="preserve">The system is organized as two physical nodes connected over a LAN, each running a layered software stack.</w:t>
      </w:r>
    </w:p>
    <w:p>
      <w:pPr>
        <w:pStyle w:val="Heading2"/>
        <w:spacing w:after="140" w:before="260"/>
      </w:pPr>
      <w:r>
        <w:rPr>
          <w:rFonts w:ascii="Georgia" w:cs="Georgia" w:eastAsia="Georgia" w:hAnsi="Georgia"/>
          <w:b/>
          <w:bCs/>
          <w:color w:val="8A4A15"/>
          <w:sz w:val="24"/>
          <w:szCs w:val="24"/>
        </w:rPr>
        <w:t xml:space="preserve">1.1 Physical Topology</w:t>
      </w:r>
    </w:p>
    <w:p>
      <w:pPr>
        <w:pStyle w:val="ListParagraph"/>
        <w:numPr>
          <w:ilvl w:val="0"/>
          <w:numId w:val="2"/>
        </w:numPr>
        <w:spacing w:after="70"/>
      </w:pPr>
      <w:r>
        <w:rPr>
          <w:rFonts w:ascii="Calibri" w:cs="Calibri" w:eastAsia="Calibri" w:hAnsi="Calibri"/>
          <w:color w:val="1A1D21"/>
          <w:sz w:val="20"/>
          <w:szCs w:val="20"/>
        </w:rPr>
        <w:t xml:space="preserve">Master node (laptop) — runs api-master: the Hono/tRPC server, MySQL database, Ollama, ComfyUI, and its own local Python runtime.</w:t>
      </w:r>
    </w:p>
    <w:p>
      <w:pPr>
        <w:pStyle w:val="ListParagraph"/>
        <w:numPr>
          <w:ilvl w:val="0"/>
          <w:numId w:val="2"/>
        </w:numPr>
        <w:spacing w:after="70"/>
      </w:pPr>
      <w:r>
        <w:rPr>
          <w:rFonts w:ascii="Calibri" w:cs="Calibri" w:eastAsia="Calibri" w:hAnsi="Calibri"/>
          <w:color w:val="1A1D21"/>
          <w:sz w:val="20"/>
          <w:szCs w:val="20"/>
        </w:rPr>
        <w:t xml:space="preserve">Worker node (desktop, RTX 4050) — runs src-worker: a lightweight Hono server that registers with the master and executes offloaded jobs using its own GPU.</w:t>
      </w:r>
    </w:p>
    <w:p>
      <w:pPr>
        <w:pStyle w:val="ListParagraph"/>
        <w:numPr>
          <w:ilvl w:val="0"/>
          <w:numId w:val="2"/>
        </w:numPr>
        <w:spacing w:after="70"/>
      </w:pPr>
      <w:r>
        <w:rPr>
          <w:rFonts w:ascii="Calibri" w:cs="Calibri" w:eastAsia="Calibri" w:hAnsi="Calibri"/>
          <w:color w:val="1A1D21"/>
          <w:sz w:val="20"/>
          <w:szCs w:val="20"/>
        </w:rPr>
        <w:t xml:space="preserve">The worker's IP is hardcoded to the master at registration time: LAPTOP = "http://192.168.0.100:3000/api/cluster" (src-worker/src/server.ts).</w:t>
      </w:r>
    </w:p>
    <w:p>
      <w:pPr>
        <w:pStyle w:val="ListParagraph"/>
        <w:numPr>
          <w:ilvl w:val="0"/>
          <w:numId w:val="2"/>
        </w:numPr>
        <w:spacing w:after="70"/>
      </w:pPr>
      <w:r>
        <w:rPr>
          <w:rFonts w:ascii="Calibri" w:cs="Calibri" w:eastAsia="Calibri" w:hAnsi="Calibri"/>
          <w:color w:val="1A1D21"/>
          <w:sz w:val="20"/>
          <w:szCs w:val="20"/>
        </w:rPr>
        <w:t xml:space="preserve">The worker advertises its own IP/hostname back to the master in capabilities.ts: id "desktop-01", hostname "AI-DESKTOP", ip "192.168.0.108", port 3001.</w:t>
      </w:r>
    </w:p>
    <w:p>
      <w:pPr>
        <w:pStyle w:val="Heading2"/>
        <w:spacing w:after="140" w:before="260"/>
      </w:pPr>
      <w:r>
        <w:rPr>
          <w:rFonts w:ascii="Georgia" w:cs="Georgia" w:eastAsia="Georgia" w:hAnsi="Georgia"/>
          <w:b/>
          <w:bCs/>
          <w:color w:val="8A4A15"/>
          <w:sz w:val="24"/>
          <w:szCs w:val="24"/>
        </w:rPr>
        <w:t xml:space="preserve">1.2 Composition Root — boot.ts</w:t>
      </w:r>
    </w:p>
    <w:p>
      <w:pPr>
        <w:spacing w:after="140" w:before="0"/>
        <w:jc w:val="left"/>
      </w:pPr>
      <w:r>
        <w:rPr>
          <w:rFonts w:ascii="Calibri" w:cs="Calibri" w:eastAsia="Calibri" w:hAnsi="Calibri"/>
          <w:b w:val="false"/>
          <w:bCs w:val="false"/>
          <w:i w:val="false"/>
          <w:iCs w:val="false"/>
          <w:color w:val="1A1D21"/>
          <w:sz w:val="21"/>
          <w:szCs w:val="21"/>
        </w:rPr>
        <w:t xml:space="preserve">boot.ts (1,786 lines) is the single entrypoint. Startup sequence, in exact order:</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await initializeSpeechSystem();
await runtimeManager.start();        // spawns local Python runtime, waits for /health
startCompanionService();
startTelemetryCollector();
app.use(bodyLimit({ maxSize: 50 * 1024 * 1024 }));
app.route("/api/files", fileUploadRouter);
app.route("/api/chat-files", chatUploadRouter);
app.use("/api/trpc/*", fetchRequestHandler({ router: appRouter, createContext }));</w:t>
      </w:r>
    </w:p>
    <w:p>
      <w:pPr>
        <w:spacing w:after="140" w:before="0"/>
        <w:jc w:val="left"/>
      </w:pPr>
      <w:r>
        <w:rPr>
          <w:rFonts w:ascii="Calibri" w:cs="Calibri" w:eastAsia="Calibri" w:hAnsi="Calibri"/>
          <w:b w:val="false"/>
          <w:bCs w:val="false"/>
          <w:i w:val="false"/>
          <w:iCs w:val="false"/>
          <w:color w:val="1A1D21"/>
          <w:sz w:val="21"/>
          <w:szCs w:val="21"/>
        </w:rPr>
        <w:t xml:space="preserve">Everything else — 35 hand-written REST endpoints (chat, speech, voice, cluster, image, system) — is declared directly in this file, ending with a catch-all app.all("/api/*", 404) that must remain last or later route declarations become unreachable.</w:t>
      </w:r>
    </w:p>
    <w:p>
      <w:pPr>
        <w:pStyle w:val="Heading2"/>
        <w:spacing w:after="140" w:before="260"/>
      </w:pPr>
      <w:r>
        <w:rPr>
          <w:rFonts w:ascii="Georgia" w:cs="Georgia" w:eastAsia="Georgia" w:hAnsi="Georgia"/>
          <w:b/>
          <w:bCs/>
          <w:color w:val="8A4A15"/>
          <w:sz w:val="24"/>
          <w:szCs w:val="24"/>
        </w:rPr>
        <w:t xml:space="preserve">1.3 tRPC Layer — router.ts / middleware.ts / context.ts</w:t>
      </w:r>
    </w:p>
    <w:p>
      <w:pPr>
        <w:spacing w:after="140" w:before="0"/>
        <w:jc w:val="left"/>
      </w:pPr>
      <w:r>
        <w:rPr>
          <w:rFonts w:ascii="Calibri" w:cs="Calibri" w:eastAsia="Calibri" w:hAnsi="Calibri"/>
          <w:b w:val="false"/>
          <w:bCs w:val="false"/>
          <w:i w:val="false"/>
          <w:iCs w:val="false"/>
          <w:color w:val="1A1D21"/>
          <w:sz w:val="21"/>
          <w:szCs w:val="21"/>
        </w:rPr>
        <w:t xml:space="preserve">middleware.ts wires tRPC's initTRPC to a shared context and configures superjson as the wire transformer, so Dates/Maps survive JSON round-trips intact:</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const t = initTRPC.context&lt;TrpcContext&gt;().create({ transformer: superjson });
export const createRouter = t.router;
export const publicQuery = t.procedure;</w:t>
      </w:r>
    </w:p>
    <w:p>
      <w:pPr>
        <w:spacing w:after="140" w:before="0"/>
        <w:jc w:val="left"/>
      </w:pPr>
      <w:r>
        <w:rPr>
          <w:rFonts w:ascii="Calibri" w:cs="Calibri" w:eastAsia="Calibri" w:hAnsi="Calibri"/>
          <w:b w:val="false"/>
          <w:bCs w:val="false"/>
          <w:i w:val="false"/>
          <w:iCs w:val="false"/>
          <w:color w:val="1A1D21"/>
          <w:sz w:val="21"/>
          <w:szCs w:val="21"/>
        </w:rPr>
        <w:t xml:space="preserve">context.ts's TrpcContext is intentionally minimal — just the raw Request and response headers:</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export type TrpcContext = { req: Request; resHeaders: Headers };</w:t>
      </w:r>
    </w:p>
    <w:p>
      <w:pPr>
        <w:spacing w:after="140" w:before="0"/>
        <w:jc w:val="left"/>
      </w:pPr>
      <w:r>
        <w:rPr>
          <w:rFonts w:ascii="Calibri" w:cs="Calibri" w:eastAsia="Calibri" w:hAnsi="Calibri"/>
          <w:b w:val="false"/>
          <w:bCs w:val="false"/>
          <w:i w:val="false"/>
          <w:iCs w:val="false"/>
          <w:color w:val="1A1D21"/>
          <w:sz w:val="21"/>
          <w:szCs w:val="21"/>
        </w:rPr>
        <w:t xml:space="preserve">router.ts composes 12 domain routers into one appRouter, exported as a type (AppRouter) for end-to-end typed calls:</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model, chat, conversation, message, system, image, file,
research, knowledge, workflow, activity, fileContent, speech</w:t>
      </w:r>
    </w:p>
    <w:p>
      <w:pPr>
        <w:pStyle w:val="Heading2"/>
        <w:spacing w:after="140" w:before="260"/>
      </w:pPr>
      <w:r>
        <w:rPr>
          <w:rFonts w:ascii="Georgia" w:cs="Georgia" w:eastAsia="Georgia" w:hAnsi="Georgia"/>
          <w:b/>
          <w:bCs/>
          <w:color w:val="8A4A15"/>
          <w:sz w:val="24"/>
          <w:szCs w:val="24"/>
        </w:rPr>
        <w:t xml:space="preserve">1.4 REST Router Inventory (routers/)</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2200"/>
        <w:gridCol w:w="1200"/>
        <w:gridCol w:w="5950"/>
      </w:tblGrid>
      <w:tr>
        <w:trPr>
          <w:tblHeader/>
        </w:trPr>
        <w:tc>
          <w:tcPr>
            <w:tcW w:type="dxa" w:w="22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File</w:t>
            </w:r>
          </w:p>
        </w:tc>
        <w:tc>
          <w:tcPr>
            <w:tcW w:type="dxa" w:w="12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Lines</w:t>
            </w:r>
          </w:p>
        </w:tc>
        <w:tc>
          <w:tcPr>
            <w:tcW w:type="dxa" w:w="59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Responsibility</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chat.ts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51</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Lightweight chat procedures layered over the REST /api/chat/stream path</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conversation.ts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82</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CRUD + listing for text conversations</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message.ts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66</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Message retrieval per conversation</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model.ts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219</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Ollama model listing, pull/delete, active-model state</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image.ts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334</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ComfyUI job submission, polling, and result retrieval</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file.ts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275</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Knowledge-base file upload/list/delete for RAG</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fileContent.ts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32</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Raw file content retrieval</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knowledge.ts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60</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Knowledge entry CRUD (manually authored RAG entries)</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research.ts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53</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Research collection/document management</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system.ts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137</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Telemetry snapshots, running processes, storage stats</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workflow.ts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66</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Saved workflow CRUD</w:t>
            </w:r>
          </w:p>
        </w:tc>
      </w:tr>
      <w:tr>
        <w:tc>
          <w:tcPr>
            <w:tcW w:type="dxa" w:w="22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activity.ts</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35</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Activity log feed</w:t>
            </w:r>
          </w:p>
        </w:tc>
      </w:tr>
    </w:tbl>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2  </w:t>
      </w:r>
      <w:r>
        <w:rPr>
          <w:rFonts w:ascii="Georgia" w:cs="Georgia" w:eastAsia="Georgia" w:hAnsi="Georgia"/>
          <w:b/>
          <w:bCs/>
          <w:color w:val="1A1D21"/>
          <w:sz w:val="30"/>
          <w:szCs w:val="30"/>
        </w:rPr>
        <w:t xml:space="preserve">Chat Generation Pipeline</w:t>
      </w:r>
    </w:p>
    <w:p>
      <w:pPr>
        <w:spacing w:after="140" w:before="0"/>
        <w:jc w:val="left"/>
      </w:pPr>
      <w:r>
        <w:rPr>
          <w:rFonts w:ascii="Calibri" w:cs="Calibri" w:eastAsia="Calibri" w:hAnsi="Calibri"/>
          <w:b w:val="false"/>
          <w:bCs w:val="false"/>
          <w:i w:val="false"/>
          <w:iCs w:val="false"/>
          <w:color w:val="1A1D21"/>
          <w:sz w:val="21"/>
          <w:szCs w:val="21"/>
        </w:rPr>
        <w:t xml:space="preserve">The core generation path is POST /api/chat/stream in boot.ts. It is the most complex single route in the system, coordinating memory, retrieval, tool execution, and streaming generation into one response.</w:t>
      </w:r>
    </w:p>
    <w:p>
      <w:pPr>
        <w:pStyle w:val="Heading2"/>
        <w:spacing w:after="140" w:before="260"/>
      </w:pPr>
      <w:r>
        <w:rPr>
          <w:rFonts w:ascii="Georgia" w:cs="Georgia" w:eastAsia="Georgia" w:hAnsi="Georgia"/>
          <w:b/>
          <w:bCs/>
          <w:color w:val="8A4A15"/>
          <w:sz w:val="24"/>
          <w:szCs w:val="24"/>
        </w:rPr>
        <w:t xml:space="preserve">2.1 Five-Stage Tool Router — services/toolRouter.ts</w:t>
      </w:r>
    </w:p>
    <w:p>
      <w:pPr>
        <w:spacing w:after="140" w:before="0"/>
        <w:jc w:val="left"/>
      </w:pPr>
      <w:r>
        <w:rPr>
          <w:rFonts w:ascii="Calibri" w:cs="Calibri" w:eastAsia="Calibri" w:hAnsi="Calibri"/>
          <w:b w:val="false"/>
          <w:bCs w:val="false"/>
          <w:i w:val="false"/>
          <w:iCs w:val="false"/>
          <w:color w:val="1A1D21"/>
          <w:sz w:val="21"/>
          <w:szCs w:val="21"/>
        </w:rPr>
        <w:t xml:space="preserve">Before any generation happens, shouldUseTools() runs a five-stage cascade to decide whether the request needs agent tools, retrieval, both, or neither. This is the single most sophisticated piece of decision logic in the codebase, and it exists specifically to avoid paying an LLM call for every single message.</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900"/>
        <w:gridCol w:w="3900"/>
        <w:gridCol w:w="4550"/>
      </w:tblGrid>
      <w:tr>
        <w:trPr>
          <w:tblHeader/>
        </w:trPr>
        <w:tc>
          <w:tcPr>
            <w:tcW w:type="dxa" w:w="9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Stage</w:t>
            </w:r>
          </w:p>
        </w:tc>
        <w:tc>
          <w:tcPr>
            <w:tcW w:type="dxa" w:w="39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Mechanism</w:t>
            </w:r>
          </w:p>
        </w:tc>
        <w:tc>
          <w:tcPr>
            <w:tcW w:type="dxa" w:w="45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Outcome</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0</w:t>
            </w:r>
          </w:p>
        </w:tc>
        <w:tc>
          <w:tcPr>
            <w:tcW w:type="dxa" w:w="3900"/>
            <w:tcMar>
              <w:top w:type="dxa" w:w="80"/>
              <w:left w:type="dxa" w:w="100"/>
              <w:bottom w:type="dxa" w:w="80"/>
              <w:right w:type="dxa" w:w="100"/>
            </w:tcMar>
          </w:tcPr>
          <w:p>
            <w:r>
              <w:rPr>
                <w:rFonts w:ascii="Calibri" w:cs="Calibri" w:eastAsia="Calibri" w:hAnsi="Calibri"/>
                <w:b w:val="false"/>
                <w:bCs w:val="false"/>
                <w:color w:val="1A1D21"/>
                <w:sz w:val="19"/>
                <w:szCs w:val="19"/>
              </w:rPr>
              <w:t xml:space="preserve">Cheap heuristic, no LLM call</w:t>
            </w:r>
          </w:p>
        </w:tc>
        <w:tc>
          <w:tcPr>
            <w:tcW w:type="dxa" w:w="4550"/>
            <w:tcMar>
              <w:top w:type="dxa" w:w="80"/>
              <w:left w:type="dxa" w:w="100"/>
              <w:bottom w:type="dxa" w:w="80"/>
              <w:right w:type="dxa" w:w="100"/>
            </w:tcMar>
          </w:tcPr>
          <w:p>
            <w:r>
              <w:rPr>
                <w:rFonts w:ascii="Calibri" w:cs="Calibri" w:eastAsia="Calibri" w:hAnsi="Calibri"/>
                <w:b w:val="false"/>
                <w:bCs w:val="false"/>
                <w:color w:val="1A1D21"/>
                <w:sz w:val="19"/>
                <w:szCs w:val="19"/>
              </w:rPr>
              <w:t xml:space="preserve">Obvious non-tool chat ("hi", "thanks") short-circuits to CHAT mode instantly</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1</w:t>
            </w:r>
          </w:p>
        </w:tc>
        <w:tc>
          <w:tcPr>
            <w:tcW w:type="dxa" w:w="3900"/>
            <w:tcMar>
              <w:top w:type="dxa" w:w="80"/>
              <w:left w:type="dxa" w:w="100"/>
              <w:bottom w:type="dxa" w:w="80"/>
              <w:right w:type="dxa" w:w="100"/>
            </w:tcMar>
          </w:tcPr>
          <w:p>
            <w:r>
              <w:rPr>
                <w:rFonts w:ascii="Calibri" w:cs="Calibri" w:eastAsia="Calibri" w:hAnsi="Calibri"/>
                <w:b w:val="false"/>
                <w:bCs w:val="false"/>
                <w:color w:val="1A1D21"/>
                <w:sz w:val="19"/>
                <w:szCs w:val="19"/>
              </w:rPr>
              <w:t xml:space="preserve">Yes/No gate on the main chat model</w:t>
            </w:r>
          </w:p>
        </w:tc>
        <w:tc>
          <w:tcPr>
            <w:tcW w:type="dxa" w:w="4550"/>
            <w:tcMar>
              <w:top w:type="dxa" w:w="80"/>
              <w:left w:type="dxa" w:w="100"/>
              <w:bottom w:type="dxa" w:w="80"/>
              <w:right w:type="dxa" w:w="100"/>
            </w:tcMar>
          </w:tcPr>
          <w:p>
            <w:r>
              <w:rPr>
                <w:rFonts w:ascii="Calibri" w:cs="Calibri" w:eastAsia="Calibri" w:hAnsi="Calibri"/>
                <w:b w:val="false"/>
                <w:bCs w:val="false"/>
                <w:color w:val="1A1D21"/>
                <w:sz w:val="19"/>
                <w:szCs w:val="19"/>
              </w:rPr>
              <w:t xml:space="preserve">Single boolean question — does this need tools? No → CHAT, stop here</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2</w:t>
            </w:r>
          </w:p>
        </w:tc>
        <w:tc>
          <w:tcPr>
            <w:tcW w:type="dxa" w:w="3900"/>
            <w:tcMar>
              <w:top w:type="dxa" w:w="80"/>
              <w:left w:type="dxa" w:w="100"/>
              <w:bottom w:type="dxa" w:w="80"/>
              <w:right w:type="dxa" w:w="100"/>
            </w:tcMar>
          </w:tcPr>
          <w:p>
            <w:r>
              <w:rPr>
                <w:rFonts w:ascii="Calibri" w:cs="Calibri" w:eastAsia="Calibri" w:hAnsi="Calibri"/>
                <w:b w:val="false"/>
                <w:bCs w:val="false"/>
                <w:color w:val="1A1D21"/>
                <w:sz w:val="19"/>
                <w:szCs w:val="19"/>
              </w:rPr>
              <w:t xml:space="preserve">Regex pattern match (toolPattern.ts)</w:t>
            </w:r>
          </w:p>
        </w:tc>
        <w:tc>
          <w:tcPr>
            <w:tcW w:type="dxa" w:w="4550"/>
            <w:tcMar>
              <w:top w:type="dxa" w:w="80"/>
              <w:left w:type="dxa" w:w="100"/>
              <w:bottom w:type="dxa" w:w="80"/>
              <w:right w:type="dxa" w:w="100"/>
            </w:tcMar>
          </w:tcPr>
          <w:p>
            <w:r>
              <w:rPr>
                <w:rFonts w:ascii="Calibri" w:cs="Calibri" w:eastAsia="Calibri" w:hAnsi="Calibri"/>
                <w:b w:val="false"/>
                <w:bCs w:val="false"/>
                <w:color w:val="1A1D21"/>
                <w:sz w:val="19"/>
                <w:szCs w:val="19"/>
              </w:rPr>
              <w:t xml:space="preserve">If it cleanly resolves tool + arguments → use directly, skip Stage 3</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3</w:t>
            </w:r>
          </w:p>
        </w:tc>
        <w:tc>
          <w:tcPr>
            <w:tcW w:type="dxa" w:w="3900"/>
            <w:tcMar>
              <w:top w:type="dxa" w:w="80"/>
              <w:left w:type="dxa" w:w="100"/>
              <w:bottom w:type="dxa" w:w="80"/>
              <w:right w:type="dxa" w:w="100"/>
            </w:tcMar>
          </w:tcPr>
          <w:p>
            <w:r>
              <w:rPr>
                <w:rFonts w:ascii="Calibri" w:cs="Calibri" w:eastAsia="Calibri" w:hAnsi="Calibri"/>
                <w:b w:val="false"/>
                <w:bCs w:val="false"/>
                <w:color w:val="1A1D21"/>
                <w:sz w:val="19"/>
                <w:szCs w:val="19"/>
              </w:rPr>
              <w:t xml:space="preserve">qwen3:0.6b native tool-calling</w:t>
            </w:r>
          </w:p>
        </w:tc>
        <w:tc>
          <w:tcPr>
            <w:tcW w:type="dxa" w:w="4550"/>
            <w:tcMar>
              <w:top w:type="dxa" w:w="80"/>
              <w:left w:type="dxa" w:w="100"/>
              <w:bottom w:type="dxa" w:w="80"/>
              <w:right w:type="dxa" w:w="100"/>
            </w:tcMar>
          </w:tcPr>
          <w:p>
            <w:r>
              <w:rPr>
                <w:rFonts w:ascii="Calibri" w:cs="Calibri" w:eastAsia="Calibri" w:hAnsi="Calibri"/>
                <w:b w:val="false"/>
                <w:bCs w:val="false"/>
                <w:color w:val="1A1D21"/>
                <w:sz w:val="19"/>
                <w:szCs w:val="19"/>
              </w:rPr>
              <w:t xml:space="preserve">Fills in whatever Stage 2 couldn't resolve, using conversation context + attachment hints</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4</w:t>
            </w:r>
          </w:p>
        </w:tc>
        <w:tc>
          <w:tcPr>
            <w:tcW w:type="dxa" w:w="3900"/>
            <w:tcMar>
              <w:top w:type="dxa" w:w="80"/>
              <w:left w:type="dxa" w:w="100"/>
              <w:bottom w:type="dxa" w:w="80"/>
              <w:right w:type="dxa" w:w="100"/>
            </w:tcMar>
          </w:tcPr>
          <w:p>
            <w:r>
              <w:rPr>
                <w:rFonts w:ascii="Calibri" w:cs="Calibri" w:eastAsia="Calibri" w:hAnsi="Calibri"/>
                <w:b w:val="false"/>
                <w:bCs w:val="false"/>
                <w:color w:val="1A1D21"/>
                <w:sz w:val="19"/>
                <w:szCs w:val="19"/>
              </w:rPr>
              <w:t xml:space="preserve">Execution</w:t>
            </w:r>
          </w:p>
        </w:tc>
        <w:tc>
          <w:tcPr>
            <w:tcW w:type="dxa" w:w="4550"/>
            <w:tcMar>
              <w:top w:type="dxa" w:w="80"/>
              <w:left w:type="dxa" w:w="100"/>
              <w:bottom w:type="dxa" w:w="80"/>
              <w:right w:type="dxa" w:w="100"/>
            </w:tcMar>
          </w:tcPr>
          <w:p>
            <w:r>
              <w:rPr>
                <w:rFonts w:ascii="Calibri" w:cs="Calibri" w:eastAsia="Calibri" w:hAnsi="Calibri"/>
                <w:b w:val="false"/>
                <w:bCs w:val="false"/>
                <w:color w:val="1A1D21"/>
                <w:sz w:val="19"/>
                <w:szCs w:val="19"/>
              </w:rPr>
              <w:t xml:space="preserve">Merged tool list → toolPipeline.ts → toolExecutor.ts → cluster.ts</w:t>
            </w:r>
          </w:p>
        </w:tc>
      </w:tr>
    </w:tbl>
    <w:p>
      <w:pPr>
        <w:spacing w:after="140" w:before="100"/>
        <w:jc w:val="left"/>
      </w:pPr>
      <w:r>
        <w:rPr>
          <w:rFonts w:ascii="Calibri" w:cs="Calibri" w:eastAsia="Calibri" w:hAnsi="Calibri"/>
          <w:b w:val="false"/>
          <w:bCs w:val="false"/>
          <w:i w:val="false"/>
          <w:iCs w:val="false"/>
          <w:color w:val="1A1D21"/>
          <w:sz w:val="21"/>
          <w:szCs w:val="21"/>
        </w:rPr>
        <w:t xml:space="preserve">The decision produces one of four modes, each handled distinctly in boot.ts:</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switch (decision.mode) {
  case "CHAT":     break;
  case "TOOL":     toolResult = await runTools(); break;
  case "RAG":      body.useRag = true; break;
  case "TOOL_RAG": body.useRag = true; toolResult = await runTools(); break;
}</w:t>
      </w:r>
    </w:p>
    <w:p>
      <w:pPr>
        <w:pStyle w:val="Heading2"/>
        <w:spacing w:after="140" w:before="260"/>
      </w:pPr>
      <w:r>
        <w:rPr>
          <w:rFonts w:ascii="Georgia" w:cs="Georgia" w:eastAsia="Georgia" w:hAnsi="Georgia"/>
          <w:b/>
          <w:bCs/>
          <w:color w:val="8A4A15"/>
          <w:sz w:val="24"/>
          <w:szCs w:val="24"/>
        </w:rPr>
        <w:t xml:space="preserve">2.2 Retrieval-Augmented Generation — services/rag.ts</w:t>
      </w:r>
    </w:p>
    <w:p>
      <w:pPr>
        <w:spacing w:after="140" w:before="0"/>
        <w:jc w:val="left"/>
      </w:pPr>
      <w:r>
        <w:rPr>
          <w:rFonts w:ascii="Calibri" w:cs="Calibri" w:eastAsia="Calibri" w:hAnsi="Calibri"/>
          <w:b w:val="false"/>
          <w:bCs w:val="false"/>
          <w:i w:val="false"/>
          <w:iCs w:val="false"/>
          <w:color w:val="1A1D21"/>
          <w:sz w:val="21"/>
          <w:szCs w:val="21"/>
        </w:rPr>
        <w:t xml:space="preserve">buildRagPrompt() calls searchKnowledge() (services/semanticSearch.ts), which embeds the user's prompt via Ollama's nomic-embed-text model and computes cosine similarity in application code against the chunk_embeddings table (embeddings are stored as raw JSON, not a native vector column type).</w:t>
      </w:r>
    </w:p>
    <w:p>
      <w:pPr>
        <w:pStyle w:val="ListParagraph"/>
        <w:numPr>
          <w:ilvl w:val="0"/>
          <w:numId w:val="2"/>
        </w:numPr>
        <w:spacing w:after="70"/>
      </w:pPr>
      <w:r>
        <w:rPr>
          <w:rFonts w:ascii="Calibri" w:cs="Calibri" w:eastAsia="Calibri" w:hAnsi="Calibri"/>
          <w:color w:val="1A1D21"/>
          <w:sz w:val="20"/>
          <w:szCs w:val="20"/>
        </w:rPr>
        <w:t xml:space="preserve">Context is capped at 8,000 characters, built by greedily adding ranked chunks until the cap is hit.</w:t>
      </w:r>
    </w:p>
    <w:p>
      <w:pPr>
        <w:pStyle w:val="ListParagraph"/>
        <w:numPr>
          <w:ilvl w:val="0"/>
          <w:numId w:val="2"/>
        </w:numPr>
        <w:spacing w:after="70"/>
      </w:pPr>
      <w:r>
        <w:rPr>
          <w:rFonts w:ascii="Calibri" w:cs="Calibri" w:eastAsia="Calibri" w:hAnsi="Calibri"/>
          <w:color w:val="1A1D21"/>
          <w:sz w:val="20"/>
          <w:szCs w:val="20"/>
        </w:rPr>
        <w:t xml:space="preserve">selectedFiles (numeric knowledge-base file IDs) narrows the search scope when the user has pinned specific documents.</w:t>
      </w:r>
    </w:p>
    <w:p>
      <w:pPr>
        <w:pStyle w:val="ListParagraph"/>
        <w:numPr>
          <w:ilvl w:val="0"/>
          <w:numId w:val="2"/>
        </w:numPr>
        <w:spacing w:after="70"/>
      </w:pPr>
      <w:r>
        <w:rPr>
          <w:rFonts w:ascii="Calibri" w:cs="Calibri" w:eastAsia="Calibri" w:hAnsi="Calibri"/>
          <w:color w:val="1A1D21"/>
          <w:sz w:val="20"/>
          <w:szCs w:val="20"/>
        </w:rPr>
        <w:t xml:space="preserve">RAG is skipped automatically (shouldSkipRag) when a TOOL-mode result already answers the question, avoiding a redundant retrieval pass.</w:t>
      </w:r>
    </w:p>
    <w:p>
      <w:pPr>
        <w:pStyle w:val="Heading2"/>
        <w:spacing w:after="140" w:before="260"/>
      </w:pPr>
      <w:r>
        <w:rPr>
          <w:rFonts w:ascii="Georgia" w:cs="Georgia" w:eastAsia="Georgia" w:hAnsi="Georgia"/>
          <w:b/>
          <w:bCs/>
          <w:color w:val="8A4A15"/>
          <w:sz w:val="24"/>
          <w:szCs w:val="24"/>
        </w:rPr>
        <w:t xml:space="preserve">2.3 Memory &amp; Conversation Context</w:t>
      </w:r>
    </w:p>
    <w:p>
      <w:pPr>
        <w:pStyle w:val="ListParagraph"/>
        <w:numPr>
          <w:ilvl w:val="0"/>
          <w:numId w:val="2"/>
        </w:numPr>
        <w:spacing w:after="70"/>
      </w:pPr>
      <w:r>
        <w:rPr>
          <w:rFonts w:ascii="Calibri" w:cs="Calibri" w:eastAsia="Calibri" w:hAnsi="Calibri"/>
          <w:color w:val="1A1D21"/>
          <w:sz w:val="20"/>
          <w:szCs w:val="20"/>
        </w:rPr>
        <w:t xml:space="preserve">buildMemoryContext(prompt) — a separate long-term memory store (memories/memoryChunks/memoryChunkEmbeddings tables), independent from the RAG knowledge base, searched the same way.</w:t>
      </w:r>
    </w:p>
    <w:p>
      <w:pPr>
        <w:pStyle w:val="ListParagraph"/>
        <w:numPr>
          <w:ilvl w:val="0"/>
          <w:numId w:val="2"/>
        </w:numPr>
        <w:spacing w:after="70"/>
      </w:pPr>
      <w:r>
        <w:rPr>
          <w:rFonts w:ascii="Calibri" w:cs="Calibri" w:eastAsia="Calibri" w:hAnsi="Calibri"/>
          <w:color w:val="1A1D21"/>
          <w:sz w:val="20"/>
          <w:szCs w:val="20"/>
        </w:rPr>
        <w:t xml:space="preserve">Conversation history: text and voice conversations use entirely separate code paths (getConversationMessages vs getVoiceConversationMessages) and separate DB tables.</w:t>
      </w:r>
    </w:p>
    <w:p>
      <w:pPr>
        <w:pStyle w:val="ListParagraph"/>
        <w:numPr>
          <w:ilvl w:val="0"/>
          <w:numId w:val="2"/>
        </w:numPr>
        <w:spacing w:after="70"/>
      </w:pPr>
      <w:r>
        <w:rPr>
          <w:rFonts w:ascii="Calibri" w:cs="Calibri" w:eastAsia="Calibri" w:hAnsi="Calibri"/>
          <w:color w:val="1A1D21"/>
          <w:sz w:val="20"/>
          <w:szCs w:val="20"/>
        </w:rPr>
        <w:t xml:space="preserve">Auto-summarization: once a conversation reaches 20 messages, summarizeConversation() runs once and the summary is cached in the DB (updateConversationSummary), avoiding re-summarizing on every subsequent turn.</w:t>
      </w:r>
    </w:p>
    <w:p>
      <w:pPr>
        <w:pStyle w:val="Heading2"/>
        <w:spacing w:after="140" w:before="260"/>
      </w:pPr>
      <w:r>
        <w:rPr>
          <w:rFonts w:ascii="Georgia" w:cs="Georgia" w:eastAsia="Georgia" w:hAnsi="Georgia"/>
          <w:b/>
          <w:bCs/>
          <w:color w:val="8A4A15"/>
          <w:sz w:val="24"/>
          <w:szCs w:val="24"/>
        </w:rPr>
        <w:t xml:space="preserve">2.4 Attachment Context — services/chatAttachmentSearch.ts</w:t>
      </w:r>
    </w:p>
    <w:p>
      <w:pPr>
        <w:spacing w:after="140" w:before="0"/>
        <w:jc w:val="left"/>
      </w:pPr>
      <w:r>
        <w:rPr>
          <w:rFonts w:ascii="Calibri" w:cs="Calibri" w:eastAsia="Calibri" w:hAnsi="Calibri"/>
          <w:b w:val="false"/>
          <w:bCs w:val="false"/>
          <w:i w:val="false"/>
          <w:iCs w:val="false"/>
          <w:color w:val="1A1D21"/>
          <w:sz w:val="21"/>
          <w:szCs w:val="21"/>
        </w:rPr>
        <w:t xml:space="preserve">If a conversationId is present, up to 8 semantically-relevant chunks from that conversation's uploaded attachments are retrieved and injected as a clearly delimited ATTACHMENT CONTEXT block, separate from the general knowledge-base RAG context.</w:t>
      </w:r>
    </w:p>
    <w:p>
      <w:pPr>
        <w:pStyle w:val="Heading2"/>
        <w:spacing w:after="140" w:before="260"/>
      </w:pPr>
      <w:r>
        <w:rPr>
          <w:rFonts w:ascii="Georgia" w:cs="Georgia" w:eastAsia="Georgia" w:hAnsi="Georgia"/>
          <w:b/>
          <w:bCs/>
          <w:color w:val="8A4A15"/>
          <w:sz w:val="24"/>
          <w:szCs w:val="24"/>
        </w:rPr>
        <w:t xml:space="preserve">2.5 Streaming Generation &amp; Failure Handling</w:t>
      </w:r>
    </w:p>
    <w:p>
      <w:pPr>
        <w:spacing w:after="140" w:before="0"/>
        <w:jc w:val="left"/>
      </w:pPr>
      <w:r>
        <w:rPr>
          <w:rFonts w:ascii="Calibri" w:cs="Calibri" w:eastAsia="Calibri" w:hAnsi="Calibri"/>
          <w:b w:val="false"/>
          <w:bCs w:val="false"/>
          <w:i w:val="false"/>
          <w:iCs w:val="false"/>
          <w:color w:val="1A1D21"/>
          <w:sz w:val="21"/>
          <w:szCs w:val="21"/>
        </w:rPr>
        <w:t xml:space="preserve">The Ollama call is wrapped in explicit failure handling that the codebase's own comments describe as fixing a real production bug — a silent hang with zero server-side errors when Ollama was slow or returned a non-2xx response:</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const GENERATE_TIMEOUT_MS = 120_000;
const generateController = new AbortController();
setTimeout(() =&gt; generateController.abort(), GENERATE_TIMEOUT_MS);
// Non-2xx from Ollama previously meant reading an error payload as NDJSON,
// where every JSON.parse silently failed and zero tokens ever streamed.
if (!ollamaResponse.ok || !ollamaResponse.body) {
  return c.json({ error: `Model backend returned ${ollamaResponse.status}` }, 502);
}</w:t>
      </w:r>
    </w:p>
    <w:p>
      <w:pPr>
        <w:spacing w:after="140" w:before="0"/>
        <w:jc w:val="left"/>
      </w:pPr>
      <w:r>
        <w:rPr>
          <w:rFonts w:ascii="Calibri" w:cs="Calibri" w:eastAsia="Calibri" w:hAnsi="Calibri"/>
          <w:b w:val="false"/>
          <w:bCs w:val="false"/>
          <w:i w:val="false"/>
          <w:iCs w:val="false"/>
          <w:color w:val="1A1D21"/>
          <w:sz w:val="21"/>
          <w:szCs w:val="21"/>
        </w:rPr>
        <w:t xml:space="preserve">supportsThinking(model) enables Ollama's think:true flag specifically for qwen3:*/qwen3.5:* models, surfacing native chain-of-thought as a separate stream field from the final answer.</w:t>
      </w:r>
    </w:p>
    <w:p>
      <w:pPr>
        <w:pStyle w:val="Heading2"/>
        <w:spacing w:after="140" w:before="260"/>
      </w:pPr>
      <w:r>
        <w:rPr>
          <w:rFonts w:ascii="Georgia" w:cs="Georgia" w:eastAsia="Georgia" w:hAnsi="Georgia"/>
          <w:b/>
          <w:bCs/>
          <w:color w:val="8A4A15"/>
          <w:sz w:val="24"/>
          <w:szCs w:val="24"/>
        </w:rPr>
        <w:t xml:space="preserve">2.6 Streaming Sentence-Boundary TTS Dispatch</w:t>
      </w:r>
    </w:p>
    <w:p>
      <w:pPr>
        <w:spacing w:after="140" w:before="0"/>
        <w:jc w:val="left"/>
      </w:pPr>
      <w:r>
        <w:rPr>
          <w:rFonts w:ascii="Calibri" w:cs="Calibri" w:eastAsia="Calibri" w:hAnsi="Calibri"/>
          <w:b w:val="false"/>
          <w:bCs w:val="false"/>
          <w:i w:val="false"/>
          <w:iCs w:val="false"/>
          <w:color w:val="1A1D21"/>
          <w:sz w:val="21"/>
          <w:szCs w:val="21"/>
        </w:rPr>
        <w:t xml:space="preserve">When responseMode is voice or text+voice, a custom streaming sentence parser scans the token stream as it arrives (not after the fact) for genuine sentence boundaries, correctly distinguishing:</w:t>
      </w:r>
    </w:p>
    <w:p>
      <w:pPr>
        <w:pStyle w:val="ListParagraph"/>
        <w:numPr>
          <w:ilvl w:val="0"/>
          <w:numId w:val="2"/>
        </w:numPr>
        <w:spacing w:after="70"/>
      </w:pPr>
      <w:r>
        <w:rPr>
          <w:rFonts w:ascii="Calibri" w:cs="Calibri" w:eastAsia="Calibri" w:hAnsi="Calibri"/>
          <w:color w:val="1A1D21"/>
          <w:sz w:val="20"/>
          <w:szCs w:val="20"/>
        </w:rPr>
        <w:t xml:space="preserve">Decimal points and version numbers (3.14, v1.5) — not a sentence end</w:t>
      </w:r>
    </w:p>
    <w:p>
      <w:pPr>
        <w:pStyle w:val="ListParagraph"/>
        <w:numPr>
          <w:ilvl w:val="0"/>
          <w:numId w:val="2"/>
        </w:numPr>
        <w:spacing w:after="70"/>
      </w:pPr>
      <w:r>
        <w:rPr>
          <w:rFonts w:ascii="Calibri" w:cs="Calibri" w:eastAsia="Calibri" w:hAnsi="Calibri"/>
          <w:color w:val="1A1D21"/>
          <w:sz w:val="20"/>
          <w:szCs w:val="20"/>
        </w:rPr>
        <w:t xml:space="preserve">Mid-abbreviation periods (U.S.) — not a sentence end</w:t>
      </w:r>
    </w:p>
    <w:p>
      <w:pPr>
        <w:pStyle w:val="ListParagraph"/>
        <w:numPr>
          <w:ilvl w:val="0"/>
          <w:numId w:val="2"/>
        </w:numPr>
        <w:spacing w:after="70"/>
      </w:pPr>
      <w:r>
        <w:rPr>
          <w:rFonts w:ascii="Calibri" w:cs="Calibri" w:eastAsia="Calibri" w:hAnsi="Calibri"/>
          <w:color w:val="1A1D21"/>
          <w:sz w:val="20"/>
          <w:szCs w:val="20"/>
        </w:rPr>
        <w:t xml:space="preserve">Known abbreviation words (Dr., Mr.) — not a sentence end</w:t>
      </w:r>
    </w:p>
    <w:p>
      <w:pPr>
        <w:pStyle w:val="ListParagraph"/>
        <w:numPr>
          <w:ilvl w:val="0"/>
          <w:numId w:val="2"/>
        </w:numPr>
        <w:spacing w:after="70"/>
      </w:pPr>
      <w:r>
        <w:rPr>
          <w:rFonts w:ascii="Calibri" w:cs="Calibri" w:eastAsia="Calibri" w:hAnsi="Calibri"/>
          <w:color w:val="1A1D21"/>
          <w:sz w:val="20"/>
          <w:szCs w:val="20"/>
        </w:rPr>
        <w:t xml:space="preserve">'!' and '?' — always treated as boundaries</w:t>
      </w:r>
    </w:p>
    <w:p>
      <w:pPr>
        <w:spacing w:after="140" w:before="0"/>
        <w:jc w:val="left"/>
      </w:pPr>
      <w:r>
        <w:rPr>
          <w:rFonts w:ascii="Calibri" w:cs="Calibri" w:eastAsia="Calibri" w:hAnsi="Calibri"/>
          <w:b w:val="false"/>
          <w:bCs w:val="false"/>
          <w:i w:val="false"/>
          <w:iCs w:val="false"/>
          <w:color w:val="1A1D21"/>
          <w:sz w:val="21"/>
          <w:szCs w:val="21"/>
        </w:rPr>
        <w:t xml:space="preserve">Each completed sentence is dispatched to speechManager.synthesize() immediately as a separate async task, so audio playback can begin before the LLM has finished generating the full response — this is a genuine low-latency design decision, not an afterthought.</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3  </w:t>
      </w:r>
      <w:r>
        <w:rPr>
          <w:rFonts w:ascii="Georgia" w:cs="Georgia" w:eastAsia="Georgia" w:hAnsi="Georgia"/>
          <w:b/>
          <w:bCs/>
          <w:color w:val="1A1D21"/>
          <w:sz w:val="30"/>
          <w:szCs w:val="30"/>
        </w:rPr>
        <w:t xml:space="preserve">Distributed Cluster Protocol</w:t>
      </w:r>
    </w:p>
    <w:p>
      <w:pPr>
        <w:spacing w:after="140" w:before="0"/>
        <w:jc w:val="left"/>
      </w:pPr>
      <w:r>
        <w:rPr>
          <w:rFonts w:ascii="Calibri" w:cs="Calibri" w:eastAsia="Calibri" w:hAnsi="Calibri"/>
          <w:b w:val="false"/>
          <w:bCs w:val="false"/>
          <w:i w:val="false"/>
          <w:iCs w:val="false"/>
          <w:color w:val="1A1D21"/>
          <w:sz w:val="21"/>
          <w:szCs w:val="21"/>
        </w:rPr>
        <w:t xml:space="preserve">The master and worker communicate over a small, purpose-built HTTP protocol implemented in services/cluster.ts (master) and src-worker/src/server.ts (worker). No external orchestration framework (Kubernetes, Nomad, etc.) is used — this is a hand-rolled, appropriately-scoped protocol for a two-to-few-node home cluster.</w:t>
      </w:r>
    </w:p>
    <w:p>
      <w:pPr>
        <w:pStyle w:val="Heading2"/>
        <w:spacing w:after="140" w:before="260"/>
      </w:pPr>
      <w:r>
        <w:rPr>
          <w:rFonts w:ascii="Georgia" w:cs="Georgia" w:eastAsia="Georgia" w:hAnsi="Georgia"/>
          <w:b/>
          <w:bCs/>
          <w:color w:val="8A4A15"/>
          <w:sz w:val="24"/>
          <w:szCs w:val="24"/>
        </w:rPr>
        <w:t xml:space="preserve">3.1 Worker Registration &amp; Liveness</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3300"/>
        <w:gridCol w:w="1900"/>
        <w:gridCol w:w="4150"/>
      </w:tblGrid>
      <w:tr>
        <w:trPr>
          <w:tblHeader/>
        </w:trPr>
        <w:tc>
          <w:tcPr>
            <w:tcW w:type="dxa" w:w="33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Endpoint</w:t>
            </w:r>
          </w:p>
        </w:tc>
        <w:tc>
          <w:tcPr>
            <w:tcW w:type="dxa" w:w="19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Direction</w:t>
            </w:r>
          </w:p>
        </w:tc>
        <w:tc>
          <w:tcPr>
            <w:tcW w:type="dxa" w:w="41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Purpose</w:t>
            </w:r>
          </w:p>
        </w:tc>
      </w:tr>
      <w:tr>
        <w:tc>
          <w:tcPr>
            <w:tcW w:type="dxa" w:w="33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POST /api/cluster/register</w:t>
            </w:r>
          </w:p>
        </w:tc>
        <w:tc>
          <w:tcPr>
            <w:tcW w:type="dxa" w:w="1900"/>
            <w:tcMar>
              <w:top w:type="dxa" w:w="80"/>
              <w:left w:type="dxa" w:w="100"/>
              <w:bottom w:type="dxa" w:w="80"/>
              <w:right w:type="dxa" w:w="100"/>
            </w:tcMar>
          </w:tcPr>
          <w:p>
            <w:r>
              <w:rPr>
                <w:rFonts w:ascii="Calibri" w:cs="Calibri" w:eastAsia="Calibri" w:hAnsi="Calibri"/>
                <w:b w:val="false"/>
                <w:bCs w:val="false"/>
                <w:color w:val="1A1D21"/>
                <w:sz w:val="19"/>
                <w:szCs w:val="19"/>
              </w:rPr>
              <w:t xml:space="preserve">Worker → Master</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Initial (and retried) registration with capabilities</w:t>
            </w:r>
          </w:p>
        </w:tc>
      </w:tr>
      <w:tr>
        <w:tc>
          <w:tcPr>
            <w:tcW w:type="dxa" w:w="33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POST /api/cluster/heartbeat</w:t>
            </w:r>
          </w:p>
        </w:tc>
        <w:tc>
          <w:tcPr>
            <w:tcW w:type="dxa" w:w="1900"/>
            <w:tcMar>
              <w:top w:type="dxa" w:w="80"/>
              <w:left w:type="dxa" w:w="100"/>
              <w:bottom w:type="dxa" w:w="80"/>
              <w:right w:type="dxa" w:w="100"/>
            </w:tcMar>
          </w:tcPr>
          <w:p>
            <w:r>
              <w:rPr>
                <w:rFonts w:ascii="Calibri" w:cs="Calibri" w:eastAsia="Calibri" w:hAnsi="Calibri"/>
                <w:b w:val="false"/>
                <w:bCs w:val="false"/>
                <w:color w:val="1A1D21"/>
                <w:sz w:val="19"/>
                <w:szCs w:val="19"/>
              </w:rPr>
              <w:t xml:space="preserve">Worker → Master</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Liveness + live CPU/RAM/GPU stats, every 5s</w:t>
            </w:r>
          </w:p>
        </w:tc>
      </w:tr>
      <w:tr>
        <w:tc>
          <w:tcPr>
            <w:tcW w:type="dxa" w:w="33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GET /api/cluster/workers</w:t>
            </w:r>
          </w:p>
        </w:tc>
        <w:tc>
          <w:tcPr>
            <w:tcW w:type="dxa" w:w="1900"/>
            <w:tcMar>
              <w:top w:type="dxa" w:w="80"/>
              <w:left w:type="dxa" w:w="100"/>
              <w:bottom w:type="dxa" w:w="80"/>
              <w:right w:type="dxa" w:w="100"/>
            </w:tcMar>
          </w:tcPr>
          <w:p>
            <w:r>
              <w:rPr>
                <w:rFonts w:ascii="Calibri" w:cs="Calibri" w:eastAsia="Calibri" w:hAnsi="Calibri"/>
                <w:b w:val="false"/>
                <w:bCs w:val="false"/>
                <w:color w:val="1A1D21"/>
                <w:sz w:val="19"/>
                <w:szCs w:val="19"/>
              </w:rPr>
              <w:t xml:space="preserve">Master (read)</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Current worker roster, used by the monitor dashboard</w:t>
            </w:r>
          </w:p>
        </w:tc>
      </w:tr>
    </w:tbl>
    <w:p>
      <w:pPr>
        <w:spacing w:after="140" w:before="0"/>
        <w:jc w:val="left"/>
      </w:pPr>
      <w:r>
        <w:rPr>
          <w:rFonts w:ascii="Calibri" w:cs="Calibri" w:eastAsia="Calibri" w:hAnsi="Calibri"/>
          <w:b w:val="false"/>
          <w:bCs w:val="false"/>
          <w:i w:val="false"/>
          <w:iCs w:val="false"/>
          <w:color w:val="1A1D21"/>
          <w:sz w:val="21"/>
          <w:szCs w:val="21"/>
        </w:rPr>
        <w:t xml:space="preserve">Self-healing registration: the worker's register() function retries every 5 seconds indefinitely, and — critically — every fetch failure is caught locally. The code comments document why this matters: a rejected fetch inside a bare setInterval callback is an unhandled promise rejection, and Node terminates the process on unhandled rejections by default. Wrapping every network call meant the worker no longer dies when the master goes offline.</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 Connection-state-aware scheduling: only ONE of these two loops is ever
// active at a time. Registration loop retries every 5s until accepted,
// then hands off to the heartbeat loop. A failed heartbeat hands control
// back to the registration loop — never both firing in parallel.</w:t>
      </w:r>
    </w:p>
    <w:p>
      <w:pPr>
        <w:pStyle w:val="Heading2"/>
        <w:spacing w:after="140" w:before="260"/>
      </w:pPr>
      <w:r>
        <w:rPr>
          <w:rFonts w:ascii="Georgia" w:cs="Georgia" w:eastAsia="Georgia" w:hAnsi="Georgia"/>
          <w:b/>
          <w:bCs/>
          <w:color w:val="8A4A15"/>
          <w:sz w:val="24"/>
          <w:szCs w:val="24"/>
        </w:rPr>
        <w:t xml:space="preserve">3.2 Master-Side Worker Registry — services/cluster.ts</w:t>
      </w:r>
    </w:p>
    <w:p>
      <w:pPr>
        <w:spacing w:after="140" w:before="0"/>
        <w:jc w:val="left"/>
      </w:pPr>
      <w:r>
        <w:rPr>
          <w:rFonts w:ascii="Calibri" w:cs="Calibri" w:eastAsia="Calibri" w:hAnsi="Calibri"/>
          <w:b w:val="false"/>
          <w:bCs w:val="false"/>
          <w:i w:val="false"/>
          <w:iCs w:val="false"/>
          <w:color w:val="1A1D21"/>
          <w:sz w:val="21"/>
          <w:szCs w:val="21"/>
        </w:rPr>
        <w:t xml:space="preserve">An in-memory Map&lt;string, Worker&gt; (no persistence — rebuilt from scratch on master restart). Key operations:</w:t>
      </w:r>
    </w:p>
    <w:p>
      <w:pPr>
        <w:pStyle w:val="ListParagraph"/>
        <w:numPr>
          <w:ilvl w:val="0"/>
          <w:numId w:val="2"/>
        </w:numPr>
        <w:spacing w:after="70"/>
      </w:pPr>
      <w:r>
        <w:rPr>
          <w:rFonts w:ascii="Calibri" w:cs="Calibri" w:eastAsia="Calibri" w:hAnsi="Calibri"/>
          <w:color w:val="1A1D21"/>
          <w:sz w:val="20"/>
          <w:szCs w:val="20"/>
        </w:rPr>
        <w:t xml:space="preserve">registerWorker() — deduplicates: an already-known worker re-registering gets a silent, quiet refresh; only a genuinely new worker gets the full console banner. This specifically prevents log flooding from the 5-second retry loop.</w:t>
      </w:r>
    </w:p>
    <w:p>
      <w:pPr>
        <w:pStyle w:val="ListParagraph"/>
        <w:numPr>
          <w:ilvl w:val="0"/>
          <w:numId w:val="2"/>
        </w:numPr>
        <w:spacing w:after="70"/>
      </w:pPr>
      <w:r>
        <w:rPr>
          <w:rFonts w:ascii="Calibri" w:cs="Calibri" w:eastAsia="Calibri" w:hAnsi="Calibri"/>
          <w:color w:val="1A1D21"/>
          <w:sz w:val="20"/>
          <w:szCs w:val="20"/>
        </w:rPr>
        <w:t xml:space="preserve">selectWorker(tool) — filters online workers advertising the tool, then (for Python-backed tools) additionally requires runtimes.python === true, then sorts by currentJobs ascending. Least-busy eligible worker wins.</w:t>
      </w:r>
    </w:p>
    <w:p>
      <w:pPr>
        <w:pStyle w:val="ListParagraph"/>
        <w:numPr>
          <w:ilvl w:val="0"/>
          <w:numId w:val="2"/>
        </w:numPr>
        <w:spacing w:after="70"/>
      </w:pPr>
      <w:r>
        <w:rPr>
          <w:rFonts w:ascii="Calibri" w:cs="Calibri" w:eastAsia="Calibri" w:hAnsi="Calibri"/>
          <w:color w:val="1A1D21"/>
          <w:sz w:val="20"/>
          <w:szCs w:val="20"/>
        </w:rPr>
        <w:t xml:space="preserve">removeOfflineWorkers() — pruned every 5 seconds via a setInterval in boot.ts, using a 15-second HEARTBEAT_TIMEOUT.</w:t>
      </w:r>
    </w:p>
    <w:p>
      <w:pPr>
        <w:pStyle w:val="Heading2"/>
        <w:spacing w:after="140" w:before="260"/>
      </w:pPr>
      <w:r>
        <w:rPr>
          <w:rFonts w:ascii="Georgia" w:cs="Georgia" w:eastAsia="Georgia" w:hAnsi="Georgia"/>
          <w:b/>
          <w:bCs/>
          <w:color w:val="8A4A15"/>
          <w:sz w:val="24"/>
          <w:szCs w:val="24"/>
        </w:rPr>
        <w:t xml:space="preserve">3.3 Dispatch &amp; Fallback Chain</w:t>
      </w:r>
    </w:p>
    <w:p>
      <w:pPr>
        <w:spacing w:after="140" w:before="0"/>
        <w:jc w:val="left"/>
      </w:pPr>
      <w:r>
        <w:rPr>
          <w:rFonts w:ascii="Calibri" w:cs="Calibri" w:eastAsia="Calibri" w:hAnsi="Calibri"/>
          <w:b w:val="false"/>
          <w:bCs w:val="false"/>
          <w:i w:val="false"/>
          <w:iCs w:val="false"/>
          <w:color w:val="1A1D21"/>
          <w:sz w:val="21"/>
          <w:szCs w:val="21"/>
        </w:rPr>
        <w:t xml:space="preserve">executeClusterTool(tool, toolCall, localExecutor) implements a three-tier fallback, executed in this exact order:</w:t>
      </w:r>
    </w:p>
    <w:p>
      <w:pPr>
        <w:pStyle w:val="ListParagraph"/>
        <w:numPr>
          <w:ilvl w:val="0"/>
          <w:numId w:val="2"/>
        </w:numPr>
        <w:spacing w:after="70"/>
      </w:pPr>
      <w:r>
        <w:rPr>
          <w:rFonts w:ascii="Calibri" w:cs="Calibri" w:eastAsia="Calibri" w:hAnsi="Calibri"/>
          <w:color w:val="1A1D21"/>
          <w:sz w:val="20"/>
          <w:szCs w:val="20"/>
        </w:rPr>
        <w:t xml:space="preserve">1. Remote — dispatch to the least-busy worker advertising the tool via executeRemote() (services/workerClient.ts).</w:t>
      </w:r>
    </w:p>
    <w:p>
      <w:pPr>
        <w:pStyle w:val="ListParagraph"/>
        <w:numPr>
          <w:ilvl w:val="0"/>
          <w:numId w:val="2"/>
        </w:numPr>
        <w:spacing w:after="70"/>
      </w:pPr>
      <w:r>
        <w:rPr>
          <w:rFonts w:ascii="Calibri" w:cs="Calibri" w:eastAsia="Calibri" w:hAnsi="Calibri"/>
          <w:color w:val="1A1D21"/>
          <w:sz w:val="20"/>
          <w:szCs w:val="20"/>
        </w:rPr>
        <w:t xml:space="preserve">2. Local Python runtime — if no worker is available, or the remote call throws (worker is marked offline immediately, not waiting for heartbeat timeout), and the tool is in PYTHON_TOOLS, fall back to the master's own local Python runtime.</w:t>
      </w:r>
    </w:p>
    <w:p>
      <w:pPr>
        <w:pStyle w:val="ListParagraph"/>
        <w:numPr>
          <w:ilvl w:val="0"/>
          <w:numId w:val="2"/>
        </w:numPr>
        <w:spacing w:after="70"/>
      </w:pPr>
      <w:r>
        <w:rPr>
          <w:rFonts w:ascii="Calibri" w:cs="Calibri" w:eastAsia="Calibri" w:hAnsi="Calibri"/>
          <w:color w:val="1A1D21"/>
          <w:sz w:val="20"/>
          <w:szCs w:val="20"/>
        </w:rPr>
        <w:t xml:space="preserve">3. Local in-process executor — final fallback for tools with no cluster or Python-runtime dependency.</w:t>
      </w:r>
    </w:p>
    <w:p>
      <w:pPr>
        <w:spacing w:after="140" w:before="0"/>
        <w:jc w:val="left"/>
      </w:pPr>
      <w:r>
        <w:rPr>
          <w:rFonts w:ascii="Calibri" w:cs="Calibri" w:eastAsia="Calibri" w:hAnsi="Calibri"/>
          <w:b w:val="false"/>
          <w:bCs w:val="false"/>
          <w:i w:val="false"/>
          <w:iCs w:val="false"/>
          <w:color w:val="1A1D21"/>
          <w:sz w:val="21"/>
          <w:szCs w:val="21"/>
        </w:rPr>
        <w:t xml:space="preserve">worker.currentJobs is incremented before dispatch and decremented in a finally block, guaranteeing the job count stays accurate even if the remote call throws.</w:t>
      </w:r>
    </w:p>
    <w:p>
      <w:pPr>
        <w:pStyle w:val="Heading2"/>
        <w:spacing w:after="140" w:before="260"/>
      </w:pPr>
      <w:r>
        <w:rPr>
          <w:rFonts w:ascii="Georgia" w:cs="Georgia" w:eastAsia="Georgia" w:hAnsi="Georgia"/>
          <w:b/>
          <w:bCs/>
          <w:color w:val="8A4A15"/>
          <w:sz w:val="24"/>
          <w:szCs w:val="24"/>
        </w:rPr>
        <w:t xml:space="preserve">3.4 Worker-Side Execution Surface — src-worker/server.ts</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2600"/>
        <w:gridCol w:w="6750"/>
      </w:tblGrid>
      <w:tr>
        <w:trPr>
          <w:tblHeader/>
        </w:trPr>
        <w:tc>
          <w:tcPr>
            <w:tcW w:type="dxa" w:w="26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Endpoint</w:t>
            </w:r>
          </w:p>
        </w:tc>
        <w:tc>
          <w:tcPr>
            <w:tcW w:type="dxa" w:w="67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Purpose</w:t>
            </w:r>
          </w:p>
        </w:tc>
      </w:tr>
      <w:tr>
        <w:tc>
          <w:tcPr>
            <w:tcW w:type="dxa" w:w="26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GET /ping</w:t>
            </w:r>
          </w:p>
        </w:tc>
        <w:tc>
          <w:tcPr>
            <w:tcW w:type="dxa" w:w="6750"/>
            <w:tcMar>
              <w:top w:type="dxa" w:w="80"/>
              <w:left w:type="dxa" w:w="100"/>
              <w:bottom w:type="dxa" w:w="80"/>
              <w:right w:type="dxa" w:w="100"/>
            </w:tcMar>
          </w:tcPr>
          <w:p>
            <w:r>
              <w:rPr>
                <w:rFonts w:ascii="Calibri" w:cs="Calibri" w:eastAsia="Calibri" w:hAnsi="Calibri"/>
                <w:b w:val="false"/>
                <w:bCs w:val="false"/>
                <w:color w:val="1A1D21"/>
                <w:sz w:val="19"/>
                <w:szCs w:val="19"/>
              </w:rPr>
              <w:t xml:space="preserve">Trivial liveness check</w:t>
            </w:r>
          </w:p>
        </w:tc>
      </w:tr>
      <w:tr>
        <w:tc>
          <w:tcPr>
            <w:tcW w:type="dxa" w:w="26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POST /execute</w:t>
            </w:r>
          </w:p>
        </w:tc>
        <w:tc>
          <w:tcPr>
            <w:tcW w:type="dxa" w:w="6750"/>
            <w:tcMar>
              <w:top w:type="dxa" w:w="80"/>
              <w:left w:type="dxa" w:w="100"/>
              <w:bottom w:type="dxa" w:w="80"/>
              <w:right w:type="dxa" w:w="100"/>
            </w:tcMar>
          </w:tcPr>
          <w:p>
            <w:r>
              <w:rPr>
                <w:rFonts w:ascii="Calibri" w:cs="Calibri" w:eastAsia="Calibri" w:hAnsi="Calibri"/>
                <w:b w:val="false"/>
                <w:bCs w:val="false"/>
                <w:color w:val="1A1D21"/>
                <w:sz w:val="19"/>
                <w:szCs w:val="19"/>
              </w:rPr>
              <w:t xml:space="preserve">Runs a ToolCall — Python-backed tools forwarded to local FastAPI runtime (8002); native tools (calculator, internet_search, url_reader, research_query) run in-process</w:t>
            </w:r>
          </w:p>
        </w:tc>
      </w:tr>
      <w:tr>
        <w:tc>
          <w:tcPr>
            <w:tcW w:type="dxa" w:w="26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POST /speech</w:t>
            </w:r>
          </w:p>
        </w:tc>
        <w:tc>
          <w:tcPr>
            <w:tcW w:type="dxa" w:w="6750"/>
            <w:tcMar>
              <w:top w:type="dxa" w:w="80"/>
              <w:left w:type="dxa" w:w="100"/>
              <w:bottom w:type="dxa" w:w="80"/>
              <w:right w:type="dxa" w:w="100"/>
            </w:tcMar>
          </w:tcPr>
          <w:p>
            <w:r>
              <w:rPr>
                <w:rFonts w:ascii="Calibri" w:cs="Calibri" w:eastAsia="Calibri" w:hAnsi="Calibri"/>
                <w:b w:val="false"/>
                <w:bCs w:val="false"/>
                <w:color w:val="1A1D21"/>
                <w:sz w:val="19"/>
                <w:szCs w:val="19"/>
              </w:rPr>
              <w:t xml:space="preserve">Proxies a speech request into the worker's own local speech-runtime (9000) via speechGateway.ts</w:t>
            </w:r>
          </w:p>
        </w:tc>
      </w:tr>
      <w:tr>
        <w:tc>
          <w:tcPr>
            <w:tcW w:type="dxa" w:w="26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POST /tool</w:t>
            </w:r>
          </w:p>
        </w:tc>
        <w:tc>
          <w:tcPr>
            <w:tcW w:type="dxa" w:w="6750"/>
            <w:tcMar>
              <w:top w:type="dxa" w:w="80"/>
              <w:left w:type="dxa" w:w="100"/>
              <w:bottom w:type="dxa" w:w="80"/>
              <w:right w:type="dxa" w:w="100"/>
            </w:tcMar>
          </w:tcPr>
          <w:p>
            <w:r>
              <w:rPr>
                <w:rFonts w:ascii="Calibri" w:cs="Calibri" w:eastAsia="Calibri" w:hAnsi="Calibri"/>
                <w:b w:val="false"/>
                <w:bCs w:val="false"/>
                <w:color w:val="1A1D21"/>
                <w:sz w:val="19"/>
                <w:szCs w:val="19"/>
              </w:rPr>
              <w:t xml:space="preserve">Generic proxy into local runtimes via toolGateway.ts</w:t>
            </w:r>
          </w:p>
        </w:tc>
      </w:tr>
    </w:tbl>
    <w:p>
      <w:pPr>
        <w:spacing w:after="140" w:before="0"/>
        <w:jc w:val="left"/>
      </w:pPr>
      <w:r>
        <w:rPr>
          <w:rFonts w:ascii="Calibri" w:cs="Calibri" w:eastAsia="Calibri" w:hAnsi="Calibri"/>
          <w:b w:val="false"/>
          <w:bCs w:val="false"/>
          <w:i w:val="false"/>
          <w:iCs w:val="false"/>
          <w:color w:val="1A1D21"/>
          <w:sz w:val="21"/>
          <w:szCs w:val="21"/>
        </w:rPr>
        <w:t xml:space="preserve">getCapabilities() (src-worker/src/capabilities.ts) reports the worker's GPU model via the systeminformation package, and advertises its tool/provider surface: OCR (surya), vision (qwen3_vl, minicpm), PDF (marker), and all 7 speech engines (kokoro, whisper, xtts, fishspeech, dia, chatterbox, piper) — regardless of whether every engine is actually loaded, since the speech runtime itself lazily loads models per-request.</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4  </w:t>
      </w:r>
      <w:r>
        <w:rPr>
          <w:rFonts w:ascii="Georgia" w:cs="Georgia" w:eastAsia="Georgia" w:hAnsi="Georgia"/>
          <w:b/>
          <w:bCs/>
          <w:color w:val="1A1D21"/>
          <w:sz w:val="30"/>
          <w:szCs w:val="30"/>
        </w:rPr>
        <w:t xml:space="preserve">Speech Subsystem</w:t>
      </w:r>
    </w:p>
    <w:p>
      <w:pPr>
        <w:spacing w:after="140" w:before="0"/>
        <w:jc w:val="left"/>
      </w:pPr>
      <w:r>
        <w:rPr>
          <w:rFonts w:ascii="Calibri" w:cs="Calibri" w:eastAsia="Calibri" w:hAnsi="Calibri"/>
          <w:b w:val="false"/>
          <w:bCs w:val="false"/>
          <w:i w:val="false"/>
          <w:iCs w:val="false"/>
          <w:color w:val="1A1D21"/>
          <w:sz w:val="21"/>
          <w:szCs w:val="21"/>
        </w:rPr>
        <w:t xml:space="preserve">The speech subsystem is the largest and most architecturally deep part of the codebase: a full plugin system on the master (speech/) mirrored by an equally deep FastAPI runtime (speech-runtime/) that the master talks to over HTTP — plus one or more standalone single-engine microservices.</w:t>
      </w:r>
    </w:p>
    <w:p>
      <w:pPr>
        <w:pStyle w:val="Heading2"/>
        <w:spacing w:after="140" w:before="260"/>
      </w:pPr>
      <w:r>
        <w:rPr>
          <w:rFonts w:ascii="Georgia" w:cs="Georgia" w:eastAsia="Georgia" w:hAnsi="Georgia"/>
          <w:b/>
          <w:bCs/>
          <w:color w:val="8A4A15"/>
          <w:sz w:val="24"/>
          <w:szCs w:val="24"/>
        </w:rPr>
        <w:t xml:space="preserve">4.1 Master-Side Orchestration — speech/manager/speechManager.ts</w:t>
      </w:r>
    </w:p>
    <w:p>
      <w:pPr>
        <w:spacing w:after="140" w:before="0"/>
        <w:jc w:val="left"/>
      </w:pPr>
      <w:r>
        <w:rPr>
          <w:rFonts w:ascii="Calibri" w:cs="Calibri" w:eastAsia="Calibri" w:hAnsi="Calibri"/>
          <w:b w:val="false"/>
          <w:bCs w:val="false"/>
          <w:i w:val="false"/>
          <w:iCs w:val="false"/>
          <w:color w:val="1A1D21"/>
          <w:sz w:val="21"/>
          <w:szCs w:val="21"/>
        </w:rPr>
        <w:t xml:space="preserve">SpeechManager composes 9 managers, each with a single responsibility, matching a deliberate separation-of-concerns design:</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2400"/>
        <w:gridCol w:w="1000"/>
        <w:gridCol w:w="5950"/>
      </w:tblGrid>
      <w:tr>
        <w:trPr>
          <w:tblHeader/>
        </w:trPr>
        <w:tc>
          <w:tcPr>
            <w:tcW w:type="dxa" w:w="24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Manager</w:t>
            </w:r>
          </w:p>
        </w:tc>
        <w:tc>
          <w:tcPr>
            <w:tcW w:type="dxa" w:w="10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Lines</w:t>
            </w:r>
          </w:p>
        </w:tc>
        <w:tc>
          <w:tcPr>
            <w:tcW w:type="dxa" w:w="59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Responsibility</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providerManager.ts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421</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Provider registry, enable/disable, capability lookup</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profileManager.ts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180</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Named voice profiles (provider+model+voice+tuning presets)</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runtimeManager.ts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151</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Runtime lifecycle — start/stop/health per provider</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modelManager.ts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144</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Model metadata, availability per provider</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downloadManager.ts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179</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Model weight download orchestration</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healthManager.ts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114</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Aggregate health across providers/runtimes/models/devices</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deviceManager.ts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110</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Audio device enumeration (input/output)</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providerRegistry.ts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100</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Low-level provider registration primitives</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benchmarkManager.ts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69</w:t>
            </w:r>
          </w:p>
        </w:tc>
        <w:tc>
          <w:tcPr>
            <w:tcW w:type="dxa" w:w="5950"/>
            <w:tcMar>
              <w:top w:type="dxa" w:w="80"/>
              <w:left w:type="dxa" w:w="100"/>
              <w:bottom w:type="dxa" w:w="80"/>
              <w:right w:type="dxa" w:w="100"/>
            </w:tcMar>
          </w:tcPr>
          <w:p>
            <w:r>
              <w:rPr>
                <w:rFonts w:ascii="Calibri" w:cs="Calibri" w:eastAsia="Calibri" w:hAnsi="Calibri"/>
                <w:b w:val="false"/>
                <w:bCs w:val="false"/>
                <w:color w:val="1A1D21"/>
                <w:sz w:val="19"/>
                <w:szCs w:val="19"/>
              </w:rPr>
              <w:t xml:space="preserve">Per-provider latency/throughput benchmarking</w:t>
            </w:r>
          </w:p>
        </w:tc>
      </w:tr>
    </w:tbl>
    <w:p>
      <w:pPr>
        <w:spacing w:after="140" w:before="0"/>
        <w:jc w:val="left"/>
      </w:pPr>
      <w:r>
        <w:rPr>
          <w:rFonts w:ascii="Calibri" w:cs="Calibri" w:eastAsia="Calibri" w:hAnsi="Calibri"/>
          <w:b w:val="false"/>
          <w:bCs w:val="false"/>
          <w:i w:val="false"/>
          <w:iCs w:val="false"/>
          <w:color w:val="1A1D21"/>
          <w:sz w:val="21"/>
          <w:szCs w:val="21"/>
        </w:rPr>
        <w:t xml:space="preserve">synthesize(request) resolves a Profile (provider + model + voice + speed/pitch/temperature/volume/emotion/language), fetches the matching ITTSProvider, ensures its runtime is started, calls it, and persists the interaction to HistoryStorage.</w:t>
      </w:r>
    </w:p>
    <w:p>
      <w:pPr>
        <w:pStyle w:val="Heading2"/>
        <w:spacing w:after="140" w:before="260"/>
      </w:pPr>
      <w:r>
        <w:rPr>
          <w:rFonts w:ascii="Georgia" w:cs="Georgia" w:eastAsia="Georgia" w:hAnsi="Georgia"/>
          <w:b/>
          <w:bCs/>
          <w:color w:val="8A4A15"/>
          <w:sz w:val="24"/>
          <w:szCs w:val="24"/>
        </w:rPr>
        <w:t xml:space="preserve">4.2 Provider Plugin Architecture</w:t>
      </w:r>
    </w:p>
    <w:p>
      <w:pPr>
        <w:spacing w:after="140" w:before="0"/>
        <w:jc w:val="left"/>
      </w:pPr>
      <w:r>
        <w:rPr>
          <w:rFonts w:ascii="Calibri" w:cs="Calibri" w:eastAsia="Calibri" w:hAnsi="Calibri"/>
          <w:b w:val="false"/>
          <w:bCs w:val="false"/>
          <w:i w:val="false"/>
          <w:iCs w:val="false"/>
          <w:color w:val="1A1D21"/>
          <w:sz w:val="21"/>
          <w:szCs w:val="21"/>
        </w:rPr>
        <w:t xml:space="preserve">7 TTS/STT providers are registered at startup in speech/providers/index.ts, each a self-contained module with its own config.ts and manifest.ts:</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1900"/>
        <w:gridCol w:w="1000"/>
        <w:gridCol w:w="1200"/>
        <w:gridCol w:w="5250"/>
      </w:tblGrid>
      <w:tr>
        <w:trPr>
          <w:tblHeader/>
        </w:trPr>
        <w:tc>
          <w:tcPr>
            <w:tcW w:type="dxa" w:w="19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Provider</w:t>
            </w:r>
          </w:p>
        </w:tc>
        <w:tc>
          <w:tcPr>
            <w:tcW w:type="dxa" w:w="10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Lines</w:t>
            </w:r>
          </w:p>
        </w:tc>
        <w:tc>
          <w:tcPr>
            <w:tcW w:type="dxa" w:w="12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Type</w:t>
            </w:r>
          </w:p>
        </w:tc>
        <w:tc>
          <w:tcPr>
            <w:tcW w:type="dxa" w:w="52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Note</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kokoro</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164</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TTS</w:t>
            </w:r>
          </w:p>
        </w:tc>
        <w:tc>
          <w:tcPr>
            <w:tcW w:type="dxa" w:w="5250"/>
            <w:tcMar>
              <w:top w:type="dxa" w:w="80"/>
              <w:left w:type="dxa" w:w="100"/>
              <w:bottom w:type="dxa" w:w="80"/>
              <w:right w:type="dxa" w:w="100"/>
            </w:tcMar>
          </w:tcPr>
          <w:p>
            <w:r>
              <w:rPr>
                <w:rFonts w:ascii="Calibri" w:cs="Calibri" w:eastAsia="Calibri" w:hAnsi="Calibri"/>
                <w:b w:val="false"/>
                <w:bCs w:val="false"/>
                <w:color w:val="1A1D21"/>
                <w:sz w:val="19"/>
                <w:szCs w:val="19"/>
              </w:rPr>
              <w:t xml:space="preserve">Also runs as a standalone microservice (see 4.4)</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chatterbox</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208</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TTS</w:t>
            </w:r>
          </w:p>
        </w:tc>
        <w:tc>
          <w:tcPr>
            <w:tcW w:type="dxa" w:w="5250"/>
            <w:tcMar>
              <w:top w:type="dxa" w:w="80"/>
              <w:left w:type="dxa" w:w="100"/>
              <w:bottom w:type="dxa" w:w="80"/>
              <w:right w:type="dxa" w:w="100"/>
            </w:tcMar>
          </w:tcPr>
          <w:p>
            <w:r>
              <w:rPr>
                <w:rFonts w:ascii="Calibri" w:cs="Calibri" w:eastAsia="Calibri" w:hAnsi="Calibri"/>
                <w:b w:val="false"/>
                <w:bCs w:val="false"/>
                <w:color w:val="1A1D21"/>
                <w:sz w:val="19"/>
                <w:szCs w:val="19"/>
              </w:rPr>
              <w:t xml:space="preserve">Largest provider implementation</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whisper</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129</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STT</w:t>
            </w:r>
          </w:p>
        </w:tc>
        <w:tc>
          <w:tcPr>
            <w:tcW w:type="dxa" w:w="5250"/>
            <w:tcMar>
              <w:top w:type="dxa" w:w="80"/>
              <w:left w:type="dxa" w:w="100"/>
              <w:bottom w:type="dxa" w:w="80"/>
              <w:right w:type="dxa" w:w="100"/>
            </w:tcMar>
          </w:tcPr>
          <w:p>
            <w:r>
              <w:rPr>
                <w:rFonts w:ascii="Calibri" w:cs="Calibri" w:eastAsia="Calibri" w:hAnsi="Calibri"/>
                <w:b w:val="false"/>
                <w:bCs w:val="false"/>
                <w:color w:val="1A1D21"/>
                <w:sz w:val="19"/>
                <w:szCs w:val="19"/>
              </w:rPr>
              <w:t xml:space="preserve">Default STT provider when none specified</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xtts</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132</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TTS</w:t>
            </w:r>
          </w:p>
        </w:tc>
        <w:tc>
          <w:tcPr>
            <w:tcW w:type="dxa" w:w="5250"/>
            <w:tcMar>
              <w:top w:type="dxa" w:w="80"/>
              <w:left w:type="dxa" w:w="100"/>
              <w:bottom w:type="dxa" w:w="80"/>
              <w:right w:type="dxa" w:w="100"/>
            </w:tcMar>
          </w:tcPr>
          <w:p>
            <w:r>
              <w:rPr>
                <w:rFonts w:ascii="Calibri" w:cs="Calibri" w:eastAsia="Calibri" w:hAnsi="Calibri"/>
                <w:b w:val="false"/>
                <w:bCs w:val="false"/>
                <w:color w:val="1A1D21"/>
                <w:sz w:val="19"/>
                <w:szCs w:val="19"/>
              </w:rPr>
              <w:t xml:space="preserve">Voice cloning-capable</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fishspeech</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131</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TTS</w:t>
            </w:r>
          </w:p>
        </w:tc>
        <w:tc>
          <w:tcPr>
            <w:tcW w:type="dxa" w:w="5250"/>
            <w:tcMar>
              <w:top w:type="dxa" w:w="80"/>
              <w:left w:type="dxa" w:w="100"/>
              <w:bottom w:type="dxa" w:w="80"/>
              <w:right w:type="dxa" w:w="100"/>
            </w:tcMar>
          </w:tcPr>
          <w:p>
            <w:r>
              <w:rPr>
                <w:rFonts w:ascii="Calibri" w:cs="Calibri" w:eastAsia="Calibri" w:hAnsi="Calibri"/>
                <w:b w:val="false"/>
                <w:bCs w:val="false"/>
                <w:color w:val="1A1D21"/>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piper</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132</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TTS</w:t>
            </w:r>
          </w:p>
        </w:tc>
        <w:tc>
          <w:tcPr>
            <w:tcW w:type="dxa" w:w="5250"/>
            <w:tcMar>
              <w:top w:type="dxa" w:w="80"/>
              <w:left w:type="dxa" w:w="100"/>
              <w:bottom w:type="dxa" w:w="80"/>
              <w:right w:type="dxa" w:w="100"/>
            </w:tcMar>
          </w:tcPr>
          <w:p>
            <w:r>
              <w:rPr>
                <w:rFonts w:ascii="Calibri" w:cs="Calibri" w:eastAsia="Calibri" w:hAnsi="Calibri"/>
                <w:b w:val="false"/>
                <w:bCs w:val="false"/>
                <w:color w:val="1A1D21"/>
                <w:sz w:val="19"/>
                <w:szCs w:val="19"/>
              </w:rPr>
              <w:t xml:space="preserve">Lightweight/CPU-friendly</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dia</w:t>
            </w:r>
          </w:p>
        </w:tc>
        <w:tc>
          <w:tcPr>
            <w:tcW w:type="dxa" w:w="1000"/>
            <w:tcMar>
              <w:top w:type="dxa" w:w="80"/>
              <w:left w:type="dxa" w:w="100"/>
              <w:bottom w:type="dxa" w:w="80"/>
              <w:right w:type="dxa" w:w="100"/>
            </w:tcMar>
          </w:tcPr>
          <w:p>
            <w:r>
              <w:rPr>
                <w:rFonts w:ascii="Calibri" w:cs="Calibri" w:eastAsia="Calibri" w:hAnsi="Calibri"/>
                <w:b w:val="false"/>
                <w:bCs w:val="false"/>
                <w:color w:val="1A1D21"/>
                <w:sz w:val="19"/>
                <w:szCs w:val="19"/>
              </w:rPr>
              <w:t xml:space="preserve">132</w:t>
            </w:r>
          </w:p>
        </w:tc>
        <w:tc>
          <w:tcPr>
            <w:tcW w:type="dxa" w:w="1200"/>
            <w:tcMar>
              <w:top w:type="dxa" w:w="80"/>
              <w:left w:type="dxa" w:w="100"/>
              <w:bottom w:type="dxa" w:w="80"/>
              <w:right w:type="dxa" w:w="100"/>
            </w:tcMar>
          </w:tcPr>
          <w:p>
            <w:r>
              <w:rPr>
                <w:rFonts w:ascii="Calibri" w:cs="Calibri" w:eastAsia="Calibri" w:hAnsi="Calibri"/>
                <w:b w:val="false"/>
                <w:bCs w:val="false"/>
                <w:color w:val="1A1D21"/>
                <w:sz w:val="19"/>
                <w:szCs w:val="19"/>
              </w:rPr>
              <w:t xml:space="preserve">TTS</w:t>
            </w:r>
          </w:p>
        </w:tc>
        <w:tc>
          <w:tcPr>
            <w:tcW w:type="dxa" w:w="5250"/>
            <w:tcMar>
              <w:top w:type="dxa" w:w="80"/>
              <w:left w:type="dxa" w:w="100"/>
              <w:bottom w:type="dxa" w:w="80"/>
              <w:right w:type="dxa" w:w="100"/>
            </w:tcMar>
          </w:tcPr>
          <w:p>
            <w:r>
              <w:rPr>
                <w:rFonts w:ascii="Calibri" w:cs="Calibri" w:eastAsia="Calibri" w:hAnsi="Calibri"/>
                <w:b w:val="false"/>
                <w:bCs w:val="false"/>
                <w:color w:val="1A1D21"/>
                <w:sz w:val="19"/>
                <w:szCs w:val="19"/>
              </w:rPr>
              <w:t xml:space="preserve"/>
            </w:r>
          </w:p>
        </w:tc>
      </w:tr>
    </w:tbl>
    <w:p>
      <w:pPr>
        <w:pStyle w:val="Heading2"/>
        <w:spacing w:after="140" w:before="260"/>
      </w:pPr>
      <w:r>
        <w:rPr>
          <w:rFonts w:ascii="Georgia" w:cs="Georgia" w:eastAsia="Georgia" w:hAnsi="Georgia"/>
          <w:b/>
          <w:bCs/>
          <w:color w:val="8A4A15"/>
          <w:sz w:val="24"/>
          <w:szCs w:val="24"/>
        </w:rPr>
        <w:t xml:space="preserve">4.3 Cluster-First Routing — speech/runtimes/pythonRuntime.ts</w:t>
      </w:r>
    </w:p>
    <w:p>
      <w:pPr>
        <w:spacing w:after="140" w:before="0"/>
        <w:jc w:val="left"/>
      </w:pPr>
      <w:r>
        <w:rPr>
          <w:rFonts w:ascii="Calibri" w:cs="Calibri" w:eastAsia="Calibri" w:hAnsi="Calibri"/>
          <w:b w:val="false"/>
          <w:bCs w:val="false"/>
          <w:i w:val="false"/>
          <w:iCs w:val="false"/>
          <w:color w:val="1A1D21"/>
          <w:sz w:val="21"/>
          <w:szCs w:val="21"/>
        </w:rPr>
        <w:t xml:space="preserve">This is the class documented most explicitly in the codebase as an intentional redesign. Its own header comment states its exact contract:</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"The speech runtime (speech-runtime/main.py) is started MANUALLY by the
user in a separate terminal. This class does NOT spawn or manage any
child process. It routes HTTP requests to whichever endpoint is
available: (1) a registered cluster worker advertising \"speech\", or
(2) the locally-running speech runtime."</w:t>
      </w:r>
    </w:p>
    <w:p>
      <w:pPr>
        <w:spacing w:after="140" w:before="0"/>
        <w:jc w:val="left"/>
      </w:pPr>
      <w:r>
        <w:rPr>
          <w:rFonts w:ascii="Calibri" w:cs="Calibri" w:eastAsia="Calibri" w:hAnsi="Calibri"/>
          <w:b w:val="false"/>
          <w:bCs w:val="false"/>
          <w:i w:val="false"/>
          <w:iCs w:val="false"/>
          <w:color w:val="1A1D21"/>
          <w:sz w:val="21"/>
          <w:szCs w:val="21"/>
        </w:rPr>
        <w:t xml:space="preserve">getHttpClient() re-checks selectWorker("speech") on every single call — not just at startup — so if a worker connects or disconnects mid-session, the very next speech request routes correctly without any restart.</w:t>
      </w:r>
    </w:p>
    <w:p>
      <w:pPr>
        <w:pStyle w:val="Heading2"/>
        <w:spacing w:after="140" w:before="260"/>
      </w:pPr>
      <w:r>
        <w:rPr>
          <w:rFonts w:ascii="Georgia" w:cs="Georgia" w:eastAsia="Georgia" w:hAnsi="Georgia"/>
          <w:b/>
          <w:bCs/>
          <w:color w:val="8A4A15"/>
          <w:sz w:val="24"/>
          <w:szCs w:val="24"/>
        </w:rPr>
        <w:t xml:space="preserve">4.4 Speech Runtime — 74-file FastAPI Service</w:t>
      </w:r>
    </w:p>
    <w:p>
      <w:pPr>
        <w:spacing w:after="140" w:before="0"/>
        <w:jc w:val="left"/>
      </w:pPr>
      <w:r>
        <w:rPr>
          <w:rFonts w:ascii="Calibri" w:cs="Calibri" w:eastAsia="Calibri" w:hAnsi="Calibri"/>
          <w:b w:val="false"/>
          <w:bCs w:val="false"/>
          <w:i w:val="false"/>
          <w:iCs w:val="false"/>
          <w:color w:val="1A1D21"/>
          <w:sz w:val="21"/>
          <w:szCs w:val="21"/>
        </w:rPr>
        <w:t xml:space="preserve">speech-runtime/ is a complete standalone Python service (started manually: .venv/Scripts/python.exe main.py) with its own layered architecture mirroring the Node-side speech module almost exactly:</w:t>
      </w:r>
    </w:p>
    <w:p>
      <w:pPr>
        <w:pStyle w:val="ListParagraph"/>
        <w:numPr>
          <w:ilvl w:val="0"/>
          <w:numId w:val="2"/>
        </w:numPr>
        <w:spacing w:after="70"/>
      </w:pPr>
      <w:r>
        <w:rPr>
          <w:rFonts w:ascii="Calibri" w:cs="Calibri" w:eastAsia="Calibri" w:hAnsi="Calibri"/>
          <w:color w:val="1A1D21"/>
          <w:sz w:val="20"/>
          <w:szCs w:val="20"/>
        </w:rPr>
        <w:t xml:space="preserve">runtime/ — app.py, engine_manager.py, router.py, registration.py, websocket_manager.py, benchmark.py, health.py</w:t>
      </w:r>
    </w:p>
    <w:p>
      <w:pPr>
        <w:pStyle w:val="ListParagraph"/>
        <w:numPr>
          <w:ilvl w:val="0"/>
          <w:numId w:val="2"/>
        </w:numPr>
        <w:spacing w:after="70"/>
      </w:pPr>
      <w:r>
        <w:rPr>
          <w:rFonts w:ascii="Calibri" w:cs="Calibri" w:eastAsia="Calibri" w:hAnsi="Calibri"/>
          <w:color w:val="1A1D21"/>
          <w:sz w:val="20"/>
          <w:szCs w:val="20"/>
        </w:rPr>
        <w:t xml:space="preserve">providers/ — one Python module per TTS/STT engine, registry.py for lookup</w:t>
      </w:r>
    </w:p>
    <w:p>
      <w:pPr>
        <w:pStyle w:val="ListParagraph"/>
        <w:numPr>
          <w:ilvl w:val="0"/>
          <w:numId w:val="2"/>
        </w:numPr>
        <w:spacing w:after="70"/>
      </w:pPr>
      <w:r>
        <w:rPr>
          <w:rFonts w:ascii="Calibri" w:cs="Calibri" w:eastAsia="Calibri" w:hAnsi="Calibri"/>
          <w:color w:val="1A1D21"/>
          <w:sz w:val="20"/>
          <w:szCs w:val="20"/>
        </w:rPr>
        <w:t xml:space="preserve">inference/ — streaming.py and batching.py for chunked/concurrent generation</w:t>
      </w:r>
    </w:p>
    <w:p>
      <w:pPr>
        <w:pStyle w:val="ListParagraph"/>
        <w:numPr>
          <w:ilvl w:val="0"/>
          <w:numId w:val="2"/>
        </w:numPr>
        <w:spacing w:after="70"/>
      </w:pPr>
      <w:r>
        <w:rPr>
          <w:rFonts w:ascii="Calibri" w:cs="Calibri" w:eastAsia="Calibri" w:hAnsi="Calibri"/>
          <w:color w:val="1A1D21"/>
          <w:sz w:val="20"/>
          <w:szCs w:val="20"/>
        </w:rPr>
        <w:t xml:space="preserve">audio/ — vad.py (voice-activity detection) → silence.py → resampler.py → converter.py → wav.py/mp3.py encode chain</w:t>
      </w:r>
    </w:p>
    <w:p>
      <w:pPr>
        <w:pStyle w:val="ListParagraph"/>
        <w:numPr>
          <w:ilvl w:val="0"/>
          <w:numId w:val="2"/>
        </w:numPr>
        <w:spacing w:after="70"/>
      </w:pPr>
      <w:r>
        <w:rPr>
          <w:rFonts w:ascii="Calibri" w:cs="Calibri" w:eastAsia="Calibri" w:hAnsi="Calibri"/>
          <w:color w:val="1A1D21"/>
          <w:sz w:val="20"/>
          <w:szCs w:val="20"/>
        </w:rPr>
        <w:t xml:space="preserve">models/ — downloader.py, loader.py, cache.py, validator.py for model weight lifecycle</w:t>
      </w:r>
    </w:p>
    <w:p>
      <w:pPr>
        <w:pStyle w:val="ListParagraph"/>
        <w:numPr>
          <w:ilvl w:val="0"/>
          <w:numId w:val="2"/>
        </w:numPr>
        <w:spacing w:after="70"/>
      </w:pPr>
      <w:r>
        <w:rPr>
          <w:rFonts w:ascii="Calibri" w:cs="Calibri" w:eastAsia="Calibri" w:hAnsi="Calibri"/>
          <w:color w:val="1A1D21"/>
          <w:sz w:val="20"/>
          <w:szCs w:val="20"/>
        </w:rPr>
        <w:t xml:space="preserve">voices/ — loader.py, profiles.py, registry.py, validator.py</w:t>
      </w:r>
    </w:p>
    <w:p>
      <w:pPr>
        <w:pStyle w:val="Heading2"/>
        <w:spacing w:after="140" w:before="260"/>
      </w:pPr>
      <w:r>
        <w:rPr>
          <w:rFonts w:ascii="Georgia" w:cs="Georgia" w:eastAsia="Georgia" w:hAnsi="Georgia"/>
          <w:b/>
          <w:bCs/>
          <w:color w:val="8A4A15"/>
          <w:sz w:val="24"/>
          <w:szCs w:val="24"/>
        </w:rPr>
        <w:t xml:space="preserve">4.5 Standalone Engine Microservices — kokoro-engines-worker</w:t>
      </w:r>
    </w:p>
    <w:p>
      <w:pPr>
        <w:spacing w:after="140" w:before="0"/>
        <w:jc w:val="left"/>
      </w:pPr>
      <w:r>
        <w:rPr>
          <w:rFonts w:ascii="Calibri" w:cs="Calibri" w:eastAsia="Calibri" w:hAnsi="Calibri"/>
          <w:b w:val="false"/>
          <w:bCs w:val="false"/>
          <w:i w:val="false"/>
          <w:iCs w:val="false"/>
          <w:color w:val="1A1D21"/>
          <w:sz w:val="21"/>
          <w:szCs w:val="21"/>
        </w:rPr>
        <w:t xml:space="preserve">Some engines run as fully independent FastAPI processes rather than in-process within speech-runtime, deliberately isolating GPU memory per model so one engine crashing cannot take the whole speech stack down. The Kokoro engine's own source comment states this explicitly:</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"Mirrors the /v1/health and /v1/tts contract of the chatterbox/fishspeech
engines so providers/kokoro.py can talk to it identically. Launched
independently by the user via ../launcher.py — never started
automatically by the main speech-runtime."</w:t>
      </w:r>
    </w:p>
    <w:p>
      <w:pPr>
        <w:spacing w:after="140" w:before="0"/>
        <w:jc w:val="left"/>
      </w:pPr>
      <w:r>
        <w:rPr>
          <w:rFonts w:ascii="Calibri" w:cs="Calibri" w:eastAsia="Calibri" w:hAnsi="Calibri"/>
          <w:b w:val="false"/>
          <w:bCs w:val="false"/>
          <w:i w:val="false"/>
          <w:iCs w:val="false"/>
          <w:color w:val="1A1D21"/>
          <w:sz w:val="21"/>
          <w:szCs w:val="21"/>
        </w:rPr>
        <w:t xml:space="preserve">The three engines (kokoro, chatterbox, fishspeech) share an identical minimal HTTP contract (GET /v1/health, POST /v1/tts) and even byte-for-byte matching loguru log formatting, so operator tooling that tails logs works identically across all three.</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5  </w:t>
      </w:r>
      <w:r>
        <w:rPr>
          <w:rFonts w:ascii="Georgia" w:cs="Georgia" w:eastAsia="Georgia" w:hAnsi="Georgia"/>
          <w:b/>
          <w:bCs/>
          <w:color w:val="1A1D21"/>
          <w:sz w:val="30"/>
          <w:szCs w:val="30"/>
        </w:rPr>
        <w:t xml:space="preserve">Vision, OCR &amp; Document Runtime</w:t>
      </w:r>
    </w:p>
    <w:p>
      <w:pPr>
        <w:spacing w:after="140" w:before="0"/>
        <w:jc w:val="left"/>
      </w:pPr>
      <w:r>
        <w:rPr>
          <w:rFonts w:ascii="Calibri" w:cs="Calibri" w:eastAsia="Calibri" w:hAnsi="Calibri"/>
          <w:b w:val="false"/>
          <w:bCs w:val="false"/>
          <w:i w:val="false"/>
          <w:iCs w:val="false"/>
          <w:color w:val="1A1D21"/>
          <w:sz w:val="21"/>
          <w:szCs w:val="21"/>
        </w:rPr>
        <w:t xml:space="preserve">python-runtime/ is a FastAPI service (port 8002) running identically on both the master and worker nodes — the diff between the two copies is three files, confirming this is genuinely the same deployable artifact placed on two machines rather than two divergent implementations.</w:t>
      </w:r>
    </w:p>
    <w:p>
      <w:pPr>
        <w:pStyle w:val="Heading2"/>
        <w:spacing w:after="140" w:before="260"/>
      </w:pPr>
      <w:r>
        <w:rPr>
          <w:rFonts w:ascii="Georgia" w:cs="Georgia" w:eastAsia="Georgia" w:hAnsi="Georgia"/>
          <w:b/>
          <w:bCs/>
          <w:color w:val="8A4A15"/>
          <w:sz w:val="24"/>
          <w:szCs w:val="24"/>
        </w:rPr>
        <w:t xml:space="preserve">5.1 Manager / Registry Pattern</w:t>
      </w:r>
    </w:p>
    <w:p>
      <w:pPr>
        <w:spacing w:after="140" w:before="0"/>
        <w:jc w:val="left"/>
      </w:pPr>
      <w:r>
        <w:rPr>
          <w:rFonts w:ascii="Calibri" w:cs="Calibri" w:eastAsia="Calibri" w:hAnsi="Calibri"/>
          <w:b w:val="false"/>
          <w:bCs w:val="false"/>
          <w:i w:val="false"/>
          <w:iCs w:val="false"/>
          <w:color w:val="1A1D21"/>
          <w:sz w:val="21"/>
          <w:szCs w:val="21"/>
        </w:rPr>
        <w:t xml:space="preserve">The same architectural pattern used in the speech module recurs here: a lightweight Registry class (app/core/registry.py, ~12 lines) backs typed managers for each capability domain.</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class Registry:
    def __init__(self): self.items = {}
    def register(self, name, item): self.items[name] = item
    def get(self, name): return self.items.get(name)
    def list(self): return list(self.items.keys())</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2400"/>
        <w:gridCol w:w="6950"/>
      </w:tblGrid>
      <w:tr>
        <w:trPr>
          <w:tblHeader/>
        </w:trPr>
        <w:tc>
          <w:tcPr>
            <w:tcW w:type="dxa" w:w="24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Manager</w:t>
            </w:r>
          </w:p>
        </w:tc>
        <w:tc>
          <w:tcPr>
            <w:tcW w:type="dxa" w:w="69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Backs</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ocr_manager.py</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Text extraction from images/scans</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vision_manager.py</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General image understanding (captioning, description, Q&amp;A)</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layout_manager.py</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Document layout / region detection</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pdf_manager.py</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PDF parsing and structured extraction</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tool_manager.py</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Registers/initializes all BaseTool instances at startup</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runtime_manager.py</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Runtime lifecycle coordination</w:t>
            </w:r>
          </w:p>
        </w:tc>
      </w:tr>
    </w:tbl>
    <w:p>
      <w:pPr>
        <w:pStyle w:val="Heading2"/>
        <w:spacing w:after="140" w:before="260"/>
      </w:pPr>
      <w:r>
        <w:rPr>
          <w:rFonts w:ascii="Georgia" w:cs="Georgia" w:eastAsia="Georgia" w:hAnsi="Georgia"/>
          <w:b/>
          <w:bCs/>
          <w:color w:val="8A4A15"/>
          <w:sz w:val="24"/>
          <w:szCs w:val="24"/>
        </w:rPr>
        <w:t xml:space="preserve">5.2 Provider Registries per Capability</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2400"/>
        <w:gridCol w:w="6950"/>
      </w:tblGrid>
      <w:tr>
        <w:trPr>
          <w:tblHeader/>
        </w:trPr>
        <w:tc>
          <w:tcPr>
            <w:tcW w:type="dxa" w:w="24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Capability</w:t>
            </w:r>
          </w:p>
        </w:tc>
        <w:tc>
          <w:tcPr>
            <w:tcW w:type="dxa" w:w="69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Providers</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OCR</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surya, easyocr, paddle, tesseract</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Vision (VLM)</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qwen3vl, minicpm, florence2, internvl</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Layout Analysis</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surya, doclayout</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PDF Extraction</w:t>
            </w:r>
          </w:p>
        </w:tc>
        <w:tc>
          <w:tcPr>
            <w:tcW w:type="dxa" w:w="6950"/>
            <w:tcMar>
              <w:top w:type="dxa" w:w="80"/>
              <w:left w:type="dxa" w:w="100"/>
              <w:bottom w:type="dxa" w:w="80"/>
              <w:right w:type="dxa" w:w="100"/>
            </w:tcMar>
          </w:tcPr>
          <w:p>
            <w:r>
              <w:rPr>
                <w:rFonts w:ascii="Calibri" w:cs="Calibri" w:eastAsia="Calibri" w:hAnsi="Calibri"/>
                <w:b w:val="false"/>
                <w:bCs w:val="false"/>
                <w:color w:val="1A1D21"/>
                <w:sz w:val="19"/>
                <w:szCs w:val="19"/>
              </w:rPr>
              <w:t xml:space="preserve">marker</w:t>
            </w:r>
          </w:p>
        </w:tc>
      </w:tr>
    </w:tbl>
    <w:p>
      <w:pPr>
        <w:spacing w:after="140" w:before="0"/>
        <w:jc w:val="left"/>
      </w:pPr>
      <w:r>
        <w:rPr>
          <w:rFonts w:ascii="Calibri" w:cs="Calibri" w:eastAsia="Calibri" w:hAnsi="Calibri"/>
          <w:b w:val="false"/>
          <w:bCs w:val="false"/>
          <w:i w:val="false"/>
          <w:iCs w:val="false"/>
          <w:color w:val="1A1D21"/>
          <w:sz w:val="21"/>
          <w:szCs w:val="21"/>
        </w:rPr>
        <w:t xml:space="preserve">Each capability follows the same base.py + registry.py + one file per implementation pattern, so adding a new OCR or vision backend is a matter of implementing one interface and registering it — not touching call sites.</w:t>
      </w:r>
    </w:p>
    <w:p>
      <w:pPr>
        <w:pStyle w:val="Heading2"/>
        <w:spacing w:after="140" w:before="260"/>
      </w:pPr>
      <w:r>
        <w:rPr>
          <w:rFonts w:ascii="Georgia" w:cs="Georgia" w:eastAsia="Georgia" w:hAnsi="Georgia"/>
          <w:b/>
          <w:bCs/>
          <w:color w:val="8A4A15"/>
          <w:sz w:val="24"/>
          <w:szCs w:val="24"/>
        </w:rPr>
        <w:t xml:space="preserve">5.3 Exposed Tools</w:t>
      </w:r>
    </w:p>
    <w:p>
      <w:pPr>
        <w:spacing w:after="140" w:before="0"/>
        <w:jc w:val="left"/>
      </w:pPr>
      <w:r>
        <w:rPr>
          <w:rFonts w:ascii="Calibri" w:cs="Calibri" w:eastAsia="Calibri" w:hAnsi="Calibri"/>
          <w:b w:val="false"/>
          <w:bCs w:val="false"/>
          <w:i w:val="false"/>
          <w:iCs w:val="false"/>
          <w:color w:val="1A1D21"/>
          <w:sz w:val="21"/>
          <w:szCs w:val="21"/>
        </w:rPr>
        <w:t xml:space="preserve">Six tools are marked as PYTHON_TOOLS in both the master's services/pythonTools.ts and the worker's src/pythonTools.ts, meaning any call to them is automatically routed through the Python runtime rather than executed as a native TypeScript tool:</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local_vision_ocr, layout_analyzer, marker_pdf_pipeline,
semantic_docx_reader, pandas_spreadsheet_engine, local_vision_analyzer</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6  </w:t>
      </w:r>
      <w:r>
        <w:rPr>
          <w:rFonts w:ascii="Georgia" w:cs="Georgia" w:eastAsia="Georgia" w:hAnsi="Georgia"/>
          <w:b/>
          <w:bCs/>
          <w:color w:val="1A1D21"/>
          <w:sz w:val="30"/>
          <w:szCs w:val="30"/>
        </w:rPr>
        <w:t xml:space="preserve">Image Generation Pipeline</w:t>
      </w:r>
    </w:p>
    <w:p>
      <w:pPr>
        <w:spacing w:after="140" w:before="0"/>
        <w:jc w:val="left"/>
      </w:pPr>
      <w:r>
        <w:rPr>
          <w:rFonts w:ascii="Calibri" w:cs="Calibri" w:eastAsia="Calibri" w:hAnsi="Calibri"/>
          <w:b w:val="false"/>
          <w:bCs w:val="false"/>
          <w:i w:val="false"/>
          <w:iCs w:val="false"/>
          <w:color w:val="1A1D21"/>
          <w:sz w:val="21"/>
          <w:szCs w:val="21"/>
        </w:rPr>
        <w:t xml:space="preserve">services/comfy.ts drives a local ComfyUI instance (localhost:8188) using a Flux1-schnell workflow built specifically for constrained VRAM (RTX 4050, 6GB) — the exact graph submitted matches the uploaded RTX_4050_Workflow.json reference workflow.</w:t>
      </w:r>
    </w:p>
    <w:p>
      <w:pPr>
        <w:pStyle w:val="Heading2"/>
        <w:spacing w:after="140" w:before="260"/>
      </w:pPr>
      <w:r>
        <w:rPr>
          <w:rFonts w:ascii="Georgia" w:cs="Georgia" w:eastAsia="Georgia" w:hAnsi="Georgia"/>
          <w:b/>
          <w:bCs/>
          <w:color w:val="8A4A15"/>
          <w:sz w:val="24"/>
          <w:szCs w:val="24"/>
        </w:rPr>
        <w:t xml:space="preserve">6.1 Workflow Graph</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900"/>
        <w:gridCol w:w="2600"/>
        <w:gridCol w:w="5850"/>
      </w:tblGrid>
      <w:tr>
        <w:trPr>
          <w:tblHeader/>
        </w:trPr>
        <w:tc>
          <w:tcPr>
            <w:tcW w:type="dxa" w:w="9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Node</w:t>
            </w:r>
          </w:p>
        </w:tc>
        <w:tc>
          <w:tcPr>
            <w:tcW w:type="dxa" w:w="26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Class</w:t>
            </w:r>
          </w:p>
        </w:tc>
        <w:tc>
          <w:tcPr>
            <w:tcW w:type="dxa" w:w="58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Configuration</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1</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UnetLoaderGGUF</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flux1-schnell-Q4_0.gguf — 4-bit quantized diffusion transformer</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2</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DualCLIPLoader</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clip_l.safetensors + t5xxl_fp8_e4m3fn.safetensors (fp8 text encoder)</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3 / 4</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CLIPTextEncode ×2</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Positive and negative prompt encoding</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5</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EmptySD3LatentImage</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512×512 base latent, batch size 1</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6</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KSampler</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4 steps, cfg 1.5, euler sampler, simple scheduler — tuned for schnell's distilled few-step generation</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7</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VAELoader</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ae.safetensors</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8</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VAEDecode</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Latent → pixel space</w:t>
            </w:r>
          </w:p>
        </w:tc>
      </w:tr>
      <w:tr>
        <w:tc>
          <w:tcPr>
            <w:tcW w:type="dxa" w:w="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9</w:t>
            </w:r>
          </w:p>
        </w:tc>
        <w:tc>
          <w:tcPr>
            <w:tcW w:type="dxa" w:w="2600"/>
            <w:tcMar>
              <w:top w:type="dxa" w:w="80"/>
              <w:left w:type="dxa" w:w="100"/>
              <w:bottom w:type="dxa" w:w="80"/>
              <w:right w:type="dxa" w:w="100"/>
            </w:tcMar>
          </w:tcPr>
          <w:p>
            <w:r>
              <w:rPr>
                <w:rFonts w:ascii="Calibri" w:cs="Calibri" w:eastAsia="Calibri" w:hAnsi="Calibri"/>
                <w:b w:val="false"/>
                <w:bCs w:val="false"/>
                <w:color w:val="1A1D21"/>
                <w:sz w:val="19"/>
                <w:szCs w:val="19"/>
              </w:rPr>
              <w:t xml:space="preserve">SaveImageAdvanced</w:t>
            </w:r>
          </w:p>
        </w:tc>
        <w:tc>
          <w:tcPr>
            <w:tcW w:type="dxa" w:w="5850"/>
            <w:tcMar>
              <w:top w:type="dxa" w:w="80"/>
              <w:left w:type="dxa" w:w="100"/>
              <w:bottom w:type="dxa" w:w="80"/>
              <w:right w:type="dxa" w:w="100"/>
            </w:tcMar>
          </w:tcPr>
          <w:p>
            <w:r>
              <w:rPr>
                <w:rFonts w:ascii="Calibri" w:cs="Calibri" w:eastAsia="Calibri" w:hAnsi="Calibri"/>
                <w:b w:val="false"/>
                <w:bCs w:val="false"/>
                <w:color w:val="1A1D21"/>
                <w:sz w:val="19"/>
                <w:szCs w:val="19"/>
              </w:rPr>
              <w:t xml:space="preserve">PNG output, 8-bit, sRGB</w:t>
            </w:r>
          </w:p>
        </w:tc>
      </w:tr>
    </w:tbl>
    <w:p>
      <w:pPr>
        <w:spacing w:after="140" w:before="0"/>
        <w:jc w:val="left"/>
      </w:pPr>
      <w:r>
        <w:rPr>
          <w:rFonts w:ascii="Calibri" w:cs="Calibri" w:eastAsia="Calibri" w:hAnsi="Calibri"/>
          <w:b w:val="false"/>
          <w:bCs w:val="false"/>
          <w:i w:val="false"/>
          <w:iCs w:val="false"/>
          <w:color w:val="1A1D21"/>
          <w:sz w:val="21"/>
          <w:szCs w:val="21"/>
        </w:rPr>
        <w:t xml:space="preserve">buildWorkflow() (services/comfyWorkflow.ts) programmatically constructs this exact same 9-node graph from request parameters, meaning the reference workflow JSON is effectively the schema this code generates at runtime.</w:t>
      </w:r>
    </w:p>
    <w:p>
      <w:pPr>
        <w:pStyle w:val="Heading2"/>
        <w:spacing w:after="140" w:before="260"/>
      </w:pPr>
      <w:r>
        <w:rPr>
          <w:rFonts w:ascii="Georgia" w:cs="Georgia" w:eastAsia="Georgia" w:hAnsi="Georgia"/>
          <w:b/>
          <w:bCs/>
          <w:color w:val="8A4A15"/>
          <w:sz w:val="24"/>
          <w:szCs w:val="24"/>
        </w:rPr>
        <w:t xml:space="preserve">6.2 Generation &amp; Polling Flow</w:t>
      </w:r>
    </w:p>
    <w:p>
      <w:pPr>
        <w:pStyle w:val="ListParagraph"/>
        <w:numPr>
          <w:ilvl w:val="0"/>
          <w:numId w:val="2"/>
        </w:numPr>
        <w:spacing w:after="70"/>
      </w:pPr>
      <w:r>
        <w:rPr>
          <w:rFonts w:ascii="Calibri" w:cs="Calibri" w:eastAsia="Calibri" w:hAnsi="Calibri"/>
          <w:color w:val="1A1D21"/>
          <w:sz w:val="20"/>
          <w:szCs w:val="20"/>
        </w:rPr>
        <w:t xml:space="preserve">POST {COMFY_URL}/prompt submits the built workflow; the response's prompt_id is used to track the job.</w:t>
      </w:r>
    </w:p>
    <w:p>
      <w:pPr>
        <w:pStyle w:val="ListParagraph"/>
        <w:numPr>
          <w:ilvl w:val="0"/>
          <w:numId w:val="2"/>
        </w:numPr>
        <w:spacing w:after="70"/>
      </w:pPr>
      <w:r>
        <w:rPr>
          <w:rFonts w:ascii="Calibri" w:cs="Calibri" w:eastAsia="Calibri" w:hAnsi="Calibri"/>
          <w:color w:val="1A1D21"/>
          <w:sz w:val="20"/>
          <w:szCs w:val="20"/>
        </w:rPr>
        <w:t xml:space="preserve">The job is polled via GET /history/{promptId} at 1-second intervals, up to 1,200 attempts (20-minute ceiling) — progress is estimated linearly against this cap and reported through generationJobs (an in-memory Map keyed by jobId).</w:t>
      </w:r>
    </w:p>
    <w:p>
      <w:pPr>
        <w:pStyle w:val="ListParagraph"/>
        <w:numPr>
          <w:ilvl w:val="0"/>
          <w:numId w:val="2"/>
        </w:numPr>
        <w:spacing w:after="70"/>
      </w:pPr>
      <w:r>
        <w:rPr>
          <w:rFonts w:ascii="Calibri" w:cs="Calibri" w:eastAsia="Calibri" w:hAnsi="Calibri"/>
          <w:color w:val="1A1D21"/>
          <w:sz w:val="20"/>
          <w:szCs w:val="20"/>
        </w:rPr>
        <w:t xml:space="preserve">On completion, the output PNG is located in ComfyUI's own output directory and copied into public/generated for serving through the app's own static route.</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7  </w:t>
      </w:r>
      <w:r>
        <w:rPr>
          <w:rFonts w:ascii="Georgia" w:cs="Georgia" w:eastAsia="Georgia" w:hAnsi="Georgia"/>
          <w:b/>
          <w:bCs/>
          <w:color w:val="1A1D21"/>
          <w:sz w:val="30"/>
          <w:szCs w:val="30"/>
        </w:rPr>
        <w:t xml:space="preserve">Data Layer</w:t>
      </w:r>
    </w:p>
    <w:p>
      <w:pPr>
        <w:spacing w:after="140" w:before="0"/>
        <w:jc w:val="left"/>
      </w:pPr>
      <w:r>
        <w:rPr>
          <w:rFonts w:ascii="Calibri" w:cs="Calibri" w:eastAsia="Calibri" w:hAnsi="Calibri"/>
          <w:b w:val="false"/>
          <w:bCs w:val="false"/>
          <w:i w:val="false"/>
          <w:iCs w:val="false"/>
          <w:color w:val="1A1D21"/>
          <w:sz w:val="21"/>
          <w:szCs w:val="21"/>
        </w:rPr>
        <w:t xml:space="preserve">MySQL, accessed exclusively through Drizzle ORM (db/schema.ts, 13.4KB, 25 tables). Two migrations exist in db/migrations/, tracked with Drizzle's snapshot/journal system.</w:t>
      </w:r>
    </w:p>
    <w:p>
      <w:pPr>
        <w:pStyle w:val="Heading2"/>
        <w:spacing w:after="140" w:before="260"/>
      </w:pPr>
      <w:r>
        <w:rPr>
          <w:rFonts w:ascii="Georgia" w:cs="Georgia" w:eastAsia="Georgia" w:hAnsi="Georgia"/>
          <w:b/>
          <w:bCs/>
          <w:color w:val="8A4A15"/>
          <w:sz w:val="24"/>
          <w:szCs w:val="24"/>
        </w:rPr>
        <w:t xml:space="preserve">7.1 Table Groups</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1900"/>
        <w:gridCol w:w="3300"/>
        <w:gridCol w:w="4150"/>
      </w:tblGrid>
      <w:tr>
        <w:trPr>
          <w:tblHeader/>
        </w:trPr>
        <w:tc>
          <w:tcPr>
            <w:tcW w:type="dxa" w:w="19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Group</w:t>
            </w:r>
          </w:p>
        </w:tc>
        <w:tc>
          <w:tcPr>
            <w:tcW w:type="dxa" w:w="33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Tables</w:t>
            </w:r>
          </w:p>
        </w:tc>
        <w:tc>
          <w:tcPr>
            <w:tcW w:type="dxa" w:w="41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Purpose</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Core chat</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users, folders, conversations, messages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Standard chat data model</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Voice chat</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voiceConversations, voiceMessages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Fully separate mirror of the text chat tables — voice mode never touches the text tables</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RAG knowledge</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files, fileContents, knowledgeEntries, chunkEmbeddings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Uploaded document knowledge base + chunk-level embeddings</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Long-term memory</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memories, memoryChunks, memoryChunkEmbeddings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Independent from RAG — powers buildMemoryContext()</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Chat attachments</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chatAttachments, chatAttachmentChunks, chatAttachmentEmbeddings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Per-conversation file uploads, separate from the knowledge base</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Generative assets</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generatedImages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ComfyUI job records</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Research</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researchCollections, researchDocuments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Saved research sessions</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Ops / telemetry</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systemSnapshots, services, activityLogs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System monitor dashboard data</w:t>
            </w:r>
          </w:p>
        </w:tc>
      </w:tr>
      <w:tr>
        <w:tc>
          <w:tcPr>
            <w:tcW w:type="dxa" w:w="19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Misc</w:t>
            </w:r>
          </w:p>
        </w:tc>
        <w:tc>
          <w:tcPr>
            <w:tcW w:type="dxa" w:w="3300"/>
            <w:tcMar>
              <w:top w:type="dxa" w:w="80"/>
              <w:left w:type="dxa" w:w="100"/>
              <w:bottom w:type="dxa" w:w="80"/>
              <w:right w:type="dxa" w:w="100"/>
            </w:tcMar>
          </w:tcPr>
          <w:p>
            <w:r>
              <w:rPr>
                <w:rFonts w:ascii="Calibri" w:cs="Calibri" w:eastAsia="Calibri" w:hAnsi="Calibri"/>
                <w:b w:val="false"/>
                <w:bCs w:val="false"/>
                <w:color w:val="1A1D21"/>
                <w:sz w:val="19"/>
                <w:szCs w:val="19"/>
              </w:rPr>
              <w:t xml:space="preserve">aiModels, fileFolders, workflows</w:t>
            </w:r>
          </w:p>
        </w:tc>
        <w:tc>
          <w:tcPr>
            <w:tcW w:type="dxa" w:w="4150"/>
            <w:tcMar>
              <w:top w:type="dxa" w:w="80"/>
              <w:left w:type="dxa" w:w="100"/>
              <w:bottom w:type="dxa" w:w="80"/>
              <w:right w:type="dxa" w:w="100"/>
            </w:tcMar>
          </w:tcPr>
          <w:p>
            <w:r>
              <w:rPr>
                <w:rFonts w:ascii="Calibri" w:cs="Calibri" w:eastAsia="Calibri" w:hAnsi="Calibri"/>
                <w:b w:val="false"/>
                <w:bCs w:val="false"/>
                <w:color w:val="1A1D21"/>
                <w:sz w:val="19"/>
                <w:szCs w:val="19"/>
              </w:rPr>
              <w:t xml:space="preserve">Model registry cache, folder tree, saved workflows</w:t>
            </w:r>
          </w:p>
        </w:tc>
      </w:tr>
    </w:tbl>
    <w:p>
      <w:pPr>
        <w:pStyle w:val="Heading2"/>
        <w:spacing w:after="140" w:before="260"/>
      </w:pPr>
      <w:r>
        <w:rPr>
          <w:rFonts w:ascii="Georgia" w:cs="Georgia" w:eastAsia="Georgia" w:hAnsi="Georgia"/>
          <w:b/>
          <w:bCs/>
          <w:color w:val="8A4A15"/>
          <w:sz w:val="24"/>
          <w:szCs w:val="24"/>
        </w:rPr>
        <w:t xml:space="preserve">7.2 Embedding Storage Design</w:t>
      </w:r>
    </w:p>
    <w:p>
      <w:pPr>
        <w:spacing w:after="140" w:before="0"/>
        <w:jc w:val="left"/>
      </w:pPr>
      <w:r>
        <w:rPr>
          <w:rFonts w:ascii="Calibri" w:cs="Calibri" w:eastAsia="Calibri" w:hAnsi="Calibri"/>
          <w:b w:val="false"/>
          <w:bCs w:val="false"/>
          <w:i w:val="false"/>
          <w:iCs w:val="false"/>
          <w:color w:val="1A1D21"/>
          <w:sz w:val="21"/>
          <w:szCs w:val="21"/>
        </w:rPr>
        <w:t xml:space="preserve">A deliberate, notable design choice: embeddings are stored as raw JSON columns rather than through a native vector extension (e.g. pgvector). This means similarity search is computed in application code (services/semanticSearch.ts), not pushed down to the database. This trades query-time performance at scale for zero additional infrastructure — appropriate for a single-user local system, and worth calling out explicitly as a scaling consideration in any Q&amp;A about the architecture.</w:t>
      </w:r>
    </w:p>
    <w:p>
      <w:pPr>
        <w:pBdr>
          <w:left w:val="single" w:color="B5651D" w:sz="12"/>
        </w:pBdr>
        <w:shd w:fill="F3F1EC" w:val="clear"/>
        <w:spacing w:after="100" w:before="0"/>
        <w:ind w:left="200"/>
      </w:pPr>
      <w:r>
        <w:rPr>
          <w:rFonts w:ascii="Consolas" w:cs="Consolas" w:eastAsia="Consolas" w:hAnsi="Consolas"/>
          <w:color w:val="3A3F45"/>
          <w:sz w:val="18"/>
          <w:szCs w:val="18"/>
        </w:rPr>
        <w:t xml:space="preserve">embedding: json("embedding").notNull()   // chunk_embeddings, memory_chunk_embeddings,
                                          // chat_attachment_embeddings — all three</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8  </w:t>
      </w:r>
      <w:r>
        <w:rPr>
          <w:rFonts w:ascii="Georgia" w:cs="Georgia" w:eastAsia="Georgia" w:hAnsi="Georgia"/>
          <w:b/>
          <w:bCs/>
          <w:color w:val="1A1D21"/>
          <w:sz w:val="30"/>
          <w:szCs w:val="30"/>
        </w:rPr>
        <w:t xml:space="preserve">Frontend</w:t>
      </w:r>
    </w:p>
    <w:p>
      <w:pPr>
        <w:spacing w:after="140" w:before="0"/>
        <w:jc w:val="left"/>
      </w:pPr>
      <w:r>
        <w:rPr>
          <w:rFonts w:ascii="Calibri" w:cs="Calibri" w:eastAsia="Calibri" w:hAnsi="Calibri"/>
          <w:b w:val="false"/>
          <w:bCs w:val="false"/>
          <w:i w:val="false"/>
          <w:iCs w:val="false"/>
          <w:color w:val="1A1D21"/>
          <w:sz w:val="21"/>
          <w:szCs w:val="21"/>
        </w:rPr>
        <w:t xml:space="preserve">A static, multi-page frontend — no React/Vue/Svelte. Each page is a self-contained HTML/CSS/JS bundle served directly by boot.ts's serveStaticFiles() in production (lib/vite.ts).</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2100"/>
        <w:gridCol w:w="1600"/>
        <w:gridCol w:w="5650"/>
      </w:tblGrid>
      <w:tr>
        <w:trPr>
          <w:tblHeader/>
        </w:trPr>
        <w:tc>
          <w:tcPr>
            <w:tcW w:type="dxa" w:w="21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Page</w:t>
            </w:r>
          </w:p>
        </w:tc>
        <w:tc>
          <w:tcPr>
            <w:tcW w:type="dxa" w:w="16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JS size</w:t>
            </w:r>
          </w:p>
        </w:tc>
        <w:tc>
          <w:tcPr>
            <w:tcW w:type="dxa" w:w="56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Purpose</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chatspace/</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29 KB</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Main streaming text chat interface</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voice/</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86.8 KB</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Full-duplex voice conversation UI — largest single file in the repo</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studio/</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20.6 KB</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Image generation (ComfyUI) studio</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monitor/</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8.6 KB</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Live cluster/system telemetry dashboard</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settings/</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3.0 KB</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Provider/model/profile configuration</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robotics/</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3.0 KB</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Robotics-oriented control surface</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model/</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Model management page</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files/</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Knowledge-base file manager</w:t>
            </w:r>
          </w:p>
        </w:tc>
      </w:tr>
      <w:tr>
        <w:tc>
          <w:tcPr>
            <w:tcW w:type="dxa" w:w="21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home/</w:t>
            </w:r>
          </w:p>
        </w:tc>
        <w:tc>
          <w:tcPr>
            <w:tcW w:type="dxa" w:w="1600"/>
            <w:tcMar>
              <w:top w:type="dxa" w:w="80"/>
              <w:left w:type="dxa" w:w="100"/>
              <w:bottom w:type="dxa" w:w="80"/>
              <w:right w:type="dxa" w:w="100"/>
            </w:tcMar>
          </w:tcPr>
          <w:p>
            <w:r>
              <w:rPr>
                <w:rFonts w:ascii="Calibri" w:cs="Calibri" w:eastAsia="Calibri" w:hAnsi="Calibri"/>
                <w:b w:val="false"/>
                <w:bCs w:val="false"/>
                <w:color w:val="1A1D21"/>
                <w:sz w:val="19"/>
                <w:szCs w:val="19"/>
              </w:rPr>
              <w:t xml:space="preserve">—</w:t>
            </w:r>
          </w:p>
        </w:tc>
        <w:tc>
          <w:tcPr>
            <w:tcW w:type="dxa" w:w="5650"/>
            <w:tcMar>
              <w:top w:type="dxa" w:w="80"/>
              <w:left w:type="dxa" w:w="100"/>
              <w:bottom w:type="dxa" w:w="80"/>
              <w:right w:type="dxa" w:w="100"/>
            </w:tcMar>
          </w:tcPr>
          <w:p>
            <w:r>
              <w:rPr>
                <w:rFonts w:ascii="Calibri" w:cs="Calibri" w:eastAsia="Calibri" w:hAnsi="Calibri"/>
                <w:b w:val="false"/>
                <w:bCs w:val="false"/>
                <w:color w:val="1A1D21"/>
                <w:sz w:val="19"/>
                <w:szCs w:val="19"/>
              </w:rPr>
              <w:t xml:space="preserve">Landing / navigation page</w:t>
            </w:r>
          </w:p>
        </w:tc>
      </w:tr>
    </w:tbl>
    <w:p>
      <w:pPr>
        <w:spacing w:after="140" w:before="0"/>
        <w:jc w:val="left"/>
      </w:pPr>
      <w:r>
        <w:rPr>
          <w:rFonts w:ascii="Calibri" w:cs="Calibri" w:eastAsia="Calibri" w:hAnsi="Calibri"/>
          <w:b w:val="false"/>
          <w:bCs w:val="false"/>
          <w:i w:val="false"/>
          <w:iCs w:val="false"/>
          <w:color w:val="1A1D21"/>
          <w:sz w:val="21"/>
          <w:szCs w:val="21"/>
        </w:rPr>
        <w:t xml:space="preserve">A shared assets/page-transitions.js provides consistent cross-page navigation animation, and each page's *.css is scoped independently rather than sharing a global framework stylesheet — consistent with the project's overall preference for explicit, hand-written code over abstraction layers.</w:t>
      </w:r>
    </w:p>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9  </w:t>
      </w:r>
      <w:r>
        <w:rPr>
          <w:rFonts w:ascii="Georgia" w:cs="Georgia" w:eastAsia="Georgia" w:hAnsi="Georgia"/>
          <w:b/>
          <w:bCs/>
          <w:color w:val="1A1D21"/>
          <w:sz w:val="30"/>
          <w:szCs w:val="30"/>
        </w:rPr>
        <w:t xml:space="preserve">Reliability Engineering Notes</w:t>
      </w:r>
    </w:p>
    <w:p>
      <w:pPr>
        <w:spacing w:after="140" w:before="0"/>
        <w:jc w:val="left"/>
      </w:pPr>
      <w:r>
        <w:rPr>
          <w:rFonts w:ascii="Calibri" w:cs="Calibri" w:eastAsia="Calibri" w:hAnsi="Calibri"/>
          <w:b w:val="false"/>
          <w:bCs w:val="false"/>
          <w:i w:val="false"/>
          <w:iCs w:val="false"/>
          <w:color w:val="1A1D21"/>
          <w:sz w:val="21"/>
          <w:szCs w:val="21"/>
        </w:rPr>
        <w:t xml:space="preserve">A number of fixes are documented directly in code comments, describing real failure modes that were diagnosed and resolved. These are worth presenting explicitly, since they demonstrate systems-level debugging, not just feature-building.</w:t>
      </w:r>
    </w:p>
    <w:tbl>
      <w:tblPr>
        <w:tblW w:type="dxa" w:w="9350"/>
        <w:tblBorders>
          <w:top w:val="single" w:color="D8D2C8" w:sz="4"/>
          <w:left w:val="single" w:color="D8D2C8" w:sz="4"/>
          <w:bottom w:val="single" w:color="D8D2C8" w:sz="4"/>
          <w:right w:val="single" w:color="D8D2C8" w:sz="4"/>
          <w:insideH w:val="single" w:color="D8D2C8" w:sz="2"/>
          <w:insideV w:val="single" w:color="D8D2C8" w:sz="2"/>
        </w:tblBorders>
      </w:tblPr>
      <w:tblGrid>
        <w:gridCol w:w="2400"/>
        <w:gridCol w:w="3500"/>
        <w:gridCol w:w="3450"/>
      </w:tblGrid>
      <w:tr>
        <w:trPr>
          <w:tblHeader/>
        </w:trPr>
        <w:tc>
          <w:tcPr>
            <w:tcW w:type="dxa" w:w="24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Issue</w:t>
            </w:r>
          </w:p>
        </w:tc>
        <w:tc>
          <w:tcPr>
            <w:tcW w:type="dxa" w:w="350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Root Cause</w:t>
            </w:r>
          </w:p>
        </w:tc>
        <w:tc>
          <w:tcPr>
            <w:tcW w:type="dxa" w:w="3450"/>
            <w:shd w:fill="EFE8DC" w:val="clear"/>
            <w:tcMar>
              <w:top w:type="dxa" w:w="80"/>
              <w:left w:type="dxa" w:w="100"/>
              <w:bottom w:type="dxa" w:w="80"/>
              <w:right w:type="dxa" w:w="100"/>
            </w:tcMar>
          </w:tcPr>
          <w:p>
            <w:r>
              <w:rPr>
                <w:rFonts w:ascii="Calibri" w:cs="Calibri" w:eastAsia="Calibri" w:hAnsi="Calibri"/>
                <w:b/>
                <w:bCs/>
                <w:color w:val="1A1D21"/>
                <w:sz w:val="19"/>
                <w:szCs w:val="19"/>
              </w:rPr>
              <w:t xml:space="preserve">Fix</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Worker process silently dying when master went offline</w:t>
            </w:r>
          </w:p>
        </w:tc>
        <w:tc>
          <w:tcPr>
            <w:tcW w:type="dxa" w:w="3500"/>
            <w:tcMar>
              <w:top w:type="dxa" w:w="80"/>
              <w:left w:type="dxa" w:w="100"/>
              <w:bottom w:type="dxa" w:w="80"/>
              <w:right w:type="dxa" w:w="100"/>
            </w:tcMar>
          </w:tcPr>
          <w:p>
            <w:r>
              <w:rPr>
                <w:rFonts w:ascii="Calibri" w:cs="Calibri" w:eastAsia="Calibri" w:hAnsi="Calibri"/>
                <w:b w:val="false"/>
                <w:bCs w:val="false"/>
                <w:color w:val="1A1D21"/>
                <w:sz w:val="19"/>
                <w:szCs w:val="19"/>
              </w:rPr>
              <w:t xml:space="preserve">Unhandled promise rejection inside setInterval's heartbeat callback — Node terminates the process by default on unhandled rejections</w:t>
            </w:r>
          </w:p>
        </w:tc>
        <w:tc>
          <w:tcPr>
            <w:tcW w:type="dxa" w:w="3450"/>
            <w:tcMar>
              <w:top w:type="dxa" w:w="80"/>
              <w:left w:type="dxa" w:w="100"/>
              <w:bottom w:type="dxa" w:w="80"/>
              <w:right w:type="dxa" w:w="100"/>
            </w:tcMar>
          </w:tcPr>
          <w:p>
            <w:r>
              <w:rPr>
                <w:rFonts w:ascii="Calibri" w:cs="Calibri" w:eastAsia="Calibri" w:hAnsi="Calibri"/>
                <w:b w:val="false"/>
                <w:bCs w:val="false"/>
                <w:color w:val="1A1D21"/>
                <w:sz w:val="19"/>
                <w:szCs w:val="19"/>
              </w:rPr>
              <w:t xml:space="preserve">Every network call in the worker's registration/heartbeat loop wrapped in try/catch; process never calls process.exit() except on SIGINT</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Chat stream going silent with zero server-side errors</w:t>
            </w:r>
          </w:p>
        </w:tc>
        <w:tc>
          <w:tcPr>
            <w:tcW w:type="dxa" w:w="3500"/>
            <w:tcMar>
              <w:top w:type="dxa" w:w="80"/>
              <w:left w:type="dxa" w:w="100"/>
              <w:bottom w:type="dxa" w:w="80"/>
              <w:right w:type="dxa" w:w="100"/>
            </w:tcMar>
          </w:tcPr>
          <w:p>
            <w:r>
              <w:rPr>
                <w:rFonts w:ascii="Calibri" w:cs="Calibri" w:eastAsia="Calibri" w:hAnsi="Calibri"/>
                <w:b w:val="false"/>
                <w:bCs w:val="false"/>
                <w:color w:val="1A1D21"/>
                <w:sz w:val="19"/>
                <w:szCs w:val="19"/>
              </w:rPr>
              <w:t xml:space="preserve">Ollama returning a non-2xx response (e.g. still loading, OOM) was read line-by-line as NDJSON; every JSON.parse failed silently in a catch{continue}, flushing zero tokens</w:t>
            </w:r>
          </w:p>
        </w:tc>
        <w:tc>
          <w:tcPr>
            <w:tcW w:type="dxa" w:w="3450"/>
            <w:tcMar>
              <w:top w:type="dxa" w:w="80"/>
              <w:left w:type="dxa" w:w="100"/>
              <w:bottom w:type="dxa" w:w="80"/>
              <w:right w:type="dxa" w:w="100"/>
            </w:tcMar>
          </w:tcPr>
          <w:p>
            <w:r>
              <w:rPr>
                <w:rFonts w:ascii="Calibri" w:cs="Calibri" w:eastAsia="Calibri" w:hAnsi="Calibri"/>
                <w:b w:val="false"/>
                <w:bCs w:val="false"/>
                <w:color w:val="1A1D21"/>
                <w:sz w:val="19"/>
                <w:szCs w:val="19"/>
              </w:rPr>
              <w:t xml:space="preserve">Explicit ollamaResponse.ok check before entering the stream-read loop, returning a clean 502/504 with detail</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Ollama call hanging indefinitely under GPU load</w:t>
            </w:r>
          </w:p>
        </w:tc>
        <w:tc>
          <w:tcPr>
            <w:tcW w:type="dxa" w:w="3500"/>
            <w:tcMar>
              <w:top w:type="dxa" w:w="80"/>
              <w:left w:type="dxa" w:w="100"/>
              <w:bottom w:type="dxa" w:w="80"/>
              <w:right w:type="dxa" w:w="100"/>
            </w:tcMar>
          </w:tcPr>
          <w:p>
            <w:r>
              <w:rPr>
                <w:rFonts w:ascii="Calibri" w:cs="Calibri" w:eastAsia="Calibri" w:hAnsi="Calibri"/>
                <w:b w:val="false"/>
                <w:bCs w:val="false"/>
                <w:color w:val="1A1D21"/>
                <w:sz w:val="19"/>
                <w:szCs w:val="19"/>
              </w:rPr>
              <w:t xml:space="preserve">No timeout on the generation fetch — a GPU-starved Ollama could hang forever while the frontend's own timeout fired first with no server-side trace</w:t>
            </w:r>
          </w:p>
        </w:tc>
        <w:tc>
          <w:tcPr>
            <w:tcW w:type="dxa" w:w="3450"/>
            <w:tcMar>
              <w:top w:type="dxa" w:w="80"/>
              <w:left w:type="dxa" w:w="100"/>
              <w:bottom w:type="dxa" w:w="80"/>
              <w:right w:type="dxa" w:w="100"/>
            </w:tcMar>
          </w:tcPr>
          <w:p>
            <w:r>
              <w:rPr>
                <w:rFonts w:ascii="Calibri" w:cs="Calibri" w:eastAsia="Calibri" w:hAnsi="Calibri"/>
                <w:b w:val="false"/>
                <w:bCs w:val="false"/>
                <w:color w:val="1A1D21"/>
                <w:sz w:val="19"/>
                <w:szCs w:val="19"/>
              </w:rPr>
              <w:t xml:space="preserve">120-second AbortController wrapping the /api/generate call, with a distinct isAbort error path</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Worker log flooding every 5 seconds</w:t>
            </w:r>
          </w:p>
        </w:tc>
        <w:tc>
          <w:tcPr>
            <w:tcW w:type="dxa" w:w="3500"/>
            <w:tcMar>
              <w:top w:type="dxa" w:w="80"/>
              <w:left w:type="dxa" w:w="100"/>
              <w:bottom w:type="dxa" w:w="80"/>
              <w:right w:type="dxa" w:w="100"/>
            </w:tcMar>
          </w:tcPr>
          <w:p>
            <w:r>
              <w:rPr>
                <w:rFonts w:ascii="Calibri" w:cs="Calibri" w:eastAsia="Calibri" w:hAnsi="Calibri"/>
                <w:b w:val="false"/>
                <w:bCs w:val="false"/>
                <w:color w:val="1A1D21"/>
                <w:sz w:val="19"/>
                <w:szCs w:val="19"/>
              </w:rPr>
              <w:t xml:space="preserve">Every registration retry (needed for self-healing) logged the full 13-line banner even for an already-known worker</w:t>
            </w:r>
          </w:p>
        </w:tc>
        <w:tc>
          <w:tcPr>
            <w:tcW w:type="dxa" w:w="3450"/>
            <w:tcMar>
              <w:top w:type="dxa" w:w="80"/>
              <w:left w:type="dxa" w:w="100"/>
              <w:bottom w:type="dxa" w:w="80"/>
              <w:right w:type="dxa" w:w="100"/>
            </w:tcMar>
          </w:tcPr>
          <w:p>
            <w:r>
              <w:rPr>
                <w:rFonts w:ascii="Calibri" w:cs="Calibri" w:eastAsia="Calibri" w:hAnsi="Calibri"/>
                <w:b w:val="false"/>
                <w:bCs w:val="false"/>
                <w:color w:val="1A1D21"/>
                <w:sz w:val="19"/>
                <w:szCs w:val="19"/>
              </w:rPr>
              <w:t xml:space="preserve">registerWorker() now distinguishes a genuinely new worker from a quiet re-registration refresh</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Duplicate speech/Python runtime processes spawned on the worker</w:t>
            </w:r>
          </w:p>
        </w:tc>
        <w:tc>
          <w:tcPr>
            <w:tcW w:type="dxa" w:w="3500"/>
            <w:tcMar>
              <w:top w:type="dxa" w:w="80"/>
              <w:left w:type="dxa" w:w="100"/>
              <w:bottom w:type="dxa" w:w="80"/>
              <w:right w:type="dxa" w:w="100"/>
            </w:tcMar>
          </w:tcPr>
          <w:p>
            <w:r>
              <w:rPr>
                <w:rFonts w:ascii="Calibri" w:cs="Calibri" w:eastAsia="Calibri" w:hAnsi="Calibri"/>
                <w:b w:val="false"/>
                <w:bCs w:val="false"/>
                <w:color w:val="1A1D21"/>
                <w:sz w:val="19"/>
                <w:szCs w:val="19"/>
              </w:rPr>
              <w:t xml:space="preserve">start() was called fresh on every register() retry with no guard, and both runtimes bind fixed ports — repeated retries spawned a growing stack of torch processes competing for memory ("paging file too small")</w:t>
            </w:r>
          </w:p>
        </w:tc>
        <w:tc>
          <w:tcPr>
            <w:tcW w:type="dxa" w:w="3450"/>
            <w:tcMar>
              <w:top w:type="dxa" w:w="80"/>
              <w:left w:type="dxa" w:w="100"/>
              <w:bottom w:type="dxa" w:w="80"/>
              <w:right w:type="dxa" w:w="100"/>
            </w:tcMar>
          </w:tcPr>
          <w:p>
            <w:r>
              <w:rPr>
                <w:rFonts w:ascii="Calibri" w:cs="Calibri" w:eastAsia="Calibri" w:hAnsi="Calibri"/>
                <w:b w:val="false"/>
                <w:bCs w:val="false"/>
                <w:color w:val="1A1D21"/>
                <w:sz w:val="19"/>
                <w:szCs w:val="19"/>
              </w:rPr>
              <w:t xml:space="preserve">A starting boolean guard in RuntimeManager.start() prevents overlapping spawns; concurrent callers await the in-flight start instead</w:t>
            </w:r>
          </w:p>
        </w:tc>
      </w:tr>
      <w:tr>
        <w:tc>
          <w:tcPr>
            <w:tcW w:type="dxa" w:w="2400"/>
            <w:tcMar>
              <w:top w:type="dxa" w:w="80"/>
              <w:left w:type="dxa" w:w="100"/>
              <w:bottom w:type="dxa" w:w="80"/>
              <w:right w:type="dxa" w:w="100"/>
            </w:tcMar>
          </w:tcPr>
          <w:p>
            <w:r>
              <w:rPr>
                <w:rFonts w:ascii="Consolas" w:cs="Consolas" w:eastAsia="Consolas" w:hAnsi="Consolas"/>
                <w:b w:val="false"/>
                <w:bCs w:val="false"/>
                <w:color w:val="8A4A15"/>
                <w:sz w:val="16"/>
                <w:szCs w:val="16"/>
              </w:rPr>
              <w:t xml:space="preserve">Voice tuning sliders (speed/pitch/temperature/volume) not affecting live conversation</w:t>
            </w:r>
          </w:p>
        </w:tc>
        <w:tc>
          <w:tcPr>
            <w:tcW w:type="dxa" w:w="3500"/>
            <w:tcMar>
              <w:top w:type="dxa" w:w="80"/>
              <w:left w:type="dxa" w:w="100"/>
              <w:bottom w:type="dxa" w:w="80"/>
              <w:right w:type="dxa" w:w="100"/>
            </w:tcMar>
          </w:tcPr>
          <w:p>
            <w:r>
              <w:rPr>
                <w:rFonts w:ascii="Calibri" w:cs="Calibri" w:eastAsia="Calibri" w:hAnsi="Calibri"/>
                <w:b w:val="false"/>
                <w:bCs w:val="false"/>
                <w:color w:val="1A1D21"/>
                <w:sz w:val="19"/>
                <w:szCs w:val="19"/>
              </w:rPr>
              <w:t xml:space="preserve">The one-off TTS tab read these values, but the live streaming voice path in boot.ts never read them from the request body</w:t>
            </w:r>
          </w:p>
        </w:tc>
        <w:tc>
          <w:tcPr>
            <w:tcW w:type="dxa" w:w="3450"/>
            <w:tcMar>
              <w:top w:type="dxa" w:w="80"/>
              <w:left w:type="dxa" w:w="100"/>
              <w:bottom w:type="dxa" w:w="80"/>
              <w:right w:type="dxa" w:w="100"/>
            </w:tcMar>
          </w:tcPr>
          <w:p>
            <w:r>
              <w:rPr>
                <w:rFonts w:ascii="Calibri" w:cs="Calibri" w:eastAsia="Calibri" w:hAnsi="Calibri"/>
                <w:b w:val="false"/>
                <w:bCs w:val="false"/>
                <w:color w:val="1A1D21"/>
                <w:sz w:val="19"/>
                <w:szCs w:val="19"/>
              </w:rPr>
              <w:t xml:space="preserve">Per-request slider values are now read and passed through the full streaming synthesis call</w:t>
            </w:r>
          </w:p>
        </w:tc>
      </w:tr>
    </w:tbl>
    <w:p>
      <w:r>
        <w:br w:type="page"/>
      </w:r>
    </w:p>
    <w:p>
      <w:pPr>
        <w:pStyle w:val="Heading1"/>
        <w:pBdr>
          <w:bottom w:val="single" w:color="B5651D" w:sz="6"/>
        </w:pBdr>
        <w:spacing w:after="200" w:before="420"/>
      </w:pPr>
      <w:r>
        <w:rPr>
          <w:rFonts w:ascii="Georgia" w:cs="Georgia" w:eastAsia="Georgia" w:hAnsi="Georgia"/>
          <w:b/>
          <w:bCs/>
          <w:color w:val="B5651D"/>
          <w:sz w:val="30"/>
          <w:szCs w:val="30"/>
        </w:rPr>
        <w:t xml:space="preserve">10  </w:t>
      </w:r>
      <w:r>
        <w:rPr>
          <w:rFonts w:ascii="Georgia" w:cs="Georgia" w:eastAsia="Georgia" w:hAnsi="Georgia"/>
          <w:b/>
          <w:bCs/>
          <w:color w:val="1A1D21"/>
          <w:sz w:val="30"/>
          <w:szCs w:val="30"/>
        </w:rPr>
        <w:t xml:space="preserve">Presentation Talking Points</w:t>
      </w:r>
    </w:p>
    <w:p>
      <w:pPr>
        <w:spacing w:after="140" w:before="0"/>
        <w:jc w:val="left"/>
      </w:pPr>
      <w:r>
        <w:rPr>
          <w:rFonts w:ascii="Calibri" w:cs="Calibri" w:eastAsia="Calibri" w:hAnsi="Calibri"/>
          <w:b w:val="false"/>
          <w:bCs w:val="false"/>
          <w:i w:val="false"/>
          <w:iCs w:val="false"/>
          <w:color w:val="1A1D21"/>
          <w:sz w:val="21"/>
          <w:szCs w:val="21"/>
        </w:rPr>
        <w:t xml:space="preserve">Suggested emphasis for a technical pitch, ordered by how distinctive each point is versus a typical chatbot demo project.</w:t>
      </w:r>
    </w:p>
    <w:p>
      <w:pPr>
        <w:pStyle w:val="Heading3"/>
        <w:spacing w:after="100" w:before="200"/>
      </w:pPr>
      <w:r>
        <w:rPr>
          <w:rFonts w:ascii="Calibri" w:cs="Calibri" w:eastAsia="Calibri" w:hAnsi="Calibri"/>
          <w:b/>
          <w:bCs/>
          <w:color w:val="1A1D21"/>
          <w:sz w:val="21"/>
          <w:szCs w:val="21"/>
        </w:rPr>
        <w:t xml:space="preserve">Genuinely distributed, not simulated</w:t>
      </w:r>
    </w:p>
    <w:p>
      <w:pPr>
        <w:spacing w:after="140" w:before="0"/>
        <w:jc w:val="left"/>
      </w:pPr>
      <w:r>
        <w:rPr>
          <w:rFonts w:ascii="Calibri" w:cs="Calibri" w:eastAsia="Calibri" w:hAnsi="Calibri"/>
          <w:b w:val="false"/>
          <w:bCs w:val="false"/>
          <w:i w:val="false"/>
          <w:iCs w:val="false"/>
          <w:color w:val="1A1D21"/>
          <w:sz w:val="21"/>
          <w:szCs w:val="21"/>
        </w:rPr>
        <w:t xml:space="preserve">The master/worker split is a real network protocol with self-healing registration, heartbeat-based liveness, least-busy-worker load balancing, and automatic three-tier fallback (remote → local Python runtime → local in-process) — not a toggle or a mock.</w:t>
      </w:r>
    </w:p>
    <w:p>
      <w:pPr>
        <w:pStyle w:val="Heading3"/>
        <w:spacing w:after="100" w:before="200"/>
      </w:pPr>
      <w:r>
        <w:rPr>
          <w:rFonts w:ascii="Calibri" w:cs="Calibri" w:eastAsia="Calibri" w:hAnsi="Calibri"/>
          <w:b/>
          <w:bCs/>
          <w:color w:val="1A1D21"/>
          <w:sz w:val="21"/>
          <w:szCs w:val="21"/>
        </w:rPr>
        <w:t xml:space="preserve">Five-stage tool routing is a genuine cost-optimization design</w:t>
      </w:r>
    </w:p>
    <w:p>
      <w:pPr>
        <w:spacing w:after="140" w:before="0"/>
        <w:jc w:val="left"/>
      </w:pPr>
      <w:r>
        <w:rPr>
          <w:rFonts w:ascii="Calibri" w:cs="Calibri" w:eastAsia="Calibri" w:hAnsi="Calibri"/>
          <w:b w:val="false"/>
          <w:bCs w:val="false"/>
          <w:i w:val="false"/>
          <w:iCs w:val="false"/>
          <w:color w:val="1A1D21"/>
          <w:sz w:val="21"/>
          <w:szCs w:val="21"/>
        </w:rPr>
        <w:t xml:space="preserve">Most agent frameworks pay an LLM call on every message just to decide if tools are needed. This system's Stage 0/Stage 2 short-circuits (heuristic and regex) mean the majority of simple chat messages never touch a tool-decision model call at all.</w:t>
      </w:r>
    </w:p>
    <w:p>
      <w:pPr>
        <w:pStyle w:val="Heading3"/>
        <w:spacing w:after="100" w:before="200"/>
      </w:pPr>
      <w:r>
        <w:rPr>
          <w:rFonts w:ascii="Calibri" w:cs="Calibri" w:eastAsia="Calibri" w:hAnsi="Calibri"/>
          <w:b/>
          <w:bCs/>
          <w:color w:val="1A1D21"/>
          <w:sz w:val="21"/>
          <w:szCs w:val="21"/>
        </w:rPr>
        <w:t xml:space="preserve">Plugin architecture repeated consistently across three subsystems</w:t>
      </w:r>
    </w:p>
    <w:p>
      <w:pPr>
        <w:spacing w:after="140" w:before="0"/>
        <w:jc w:val="left"/>
      </w:pPr>
      <w:r>
        <w:rPr>
          <w:rFonts w:ascii="Calibri" w:cs="Calibri" w:eastAsia="Calibri" w:hAnsi="Calibri"/>
          <w:b w:val="false"/>
          <w:bCs w:val="false"/>
          <w:i w:val="false"/>
          <w:iCs w:val="false"/>
          <w:color w:val="1A1D21"/>
          <w:sz w:val="21"/>
          <w:szCs w:val="21"/>
        </w:rPr>
        <w:t xml:space="preserve">The same Registry-backed provider pattern appears independently in the speech module (7 TTS/STT engines), the Python runtime (OCR/vision/layout/PDF providers), and the tool system — a deliberate, reusable architectural decision rather than one-off code.</w:t>
      </w:r>
    </w:p>
    <w:p>
      <w:pPr>
        <w:pStyle w:val="Heading3"/>
        <w:spacing w:after="100" w:before="200"/>
      </w:pPr>
      <w:r>
        <w:rPr>
          <w:rFonts w:ascii="Calibri" w:cs="Calibri" w:eastAsia="Calibri" w:hAnsi="Calibri"/>
          <w:b/>
          <w:bCs/>
          <w:color w:val="1A1D21"/>
          <w:sz w:val="21"/>
          <w:szCs w:val="21"/>
        </w:rPr>
        <w:t xml:space="preserve">Real production debugging, documented in-line</w:t>
      </w:r>
    </w:p>
    <w:p>
      <w:pPr>
        <w:spacing w:after="140" w:before="0"/>
        <w:jc w:val="left"/>
      </w:pPr>
      <w:r>
        <w:rPr>
          <w:rFonts w:ascii="Calibri" w:cs="Calibri" w:eastAsia="Calibri" w:hAnsi="Calibri"/>
          <w:b w:val="false"/>
          <w:bCs w:val="false"/>
          <w:i w:val="false"/>
          <w:iCs w:val="false"/>
          <w:color w:val="1A1D21"/>
          <w:sz w:val="21"/>
          <w:szCs w:val="21"/>
        </w:rPr>
        <w:t xml:space="preserve">The reliability fixes in Section 9 are not hypothetical — they are root-caused and resolved bugs with the failure mode and fix both written directly into the source as comments, which is unusual discipline for a solo project.</w:t>
      </w:r>
    </w:p>
    <w:p>
      <w:pPr>
        <w:pStyle w:val="Heading3"/>
        <w:spacing w:after="100" w:before="200"/>
      </w:pPr>
      <w:r>
        <w:rPr>
          <w:rFonts w:ascii="Calibri" w:cs="Calibri" w:eastAsia="Calibri" w:hAnsi="Calibri"/>
          <w:b/>
          <w:bCs/>
          <w:color w:val="1A1D21"/>
          <w:sz w:val="21"/>
          <w:szCs w:val="21"/>
        </w:rPr>
        <w:t xml:space="preserve">Hardware-aware image generation</w:t>
      </w:r>
    </w:p>
    <w:p>
      <w:pPr>
        <w:spacing w:after="140" w:before="0"/>
        <w:jc w:val="left"/>
      </w:pPr>
      <w:r>
        <w:rPr>
          <w:rFonts w:ascii="Calibri" w:cs="Calibri" w:eastAsia="Calibri" w:hAnsi="Calibri"/>
          <w:b w:val="false"/>
          <w:bCs w:val="false"/>
          <w:i w:val="false"/>
          <w:iCs w:val="false"/>
          <w:color w:val="1A1D21"/>
          <w:sz w:val="21"/>
          <w:szCs w:val="21"/>
        </w:rPr>
        <w:t xml:space="preserve">The Flux1-schnell workflow is specifically quantized (Q4_0 GGUF, fp8 text encoder) and tuned (4-step Euler) for the RTX 4050's 6GB VRAM ceiling — a concrete example of engineering under real hardware constraints rather than assuming unlimited GPU memory.</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B6470"/>
        <w:sz w:val="16"/>
        <w:szCs w:val="16"/>
      </w:rPr>
      <w:t xml:space="preserve">Page </w:t>
    </w:r>
    <w:r>
      <w:rPr>
        <w:rFonts w:ascii="Consolas" w:cs="Consolas" w:eastAsia="Consolas" w:hAnsi="Consolas"/>
        <w:color w:val="5B6470"/>
        <w:sz w:val="16"/>
        <w:szCs w:val="16"/>
      </w:rPr>
      <w:fldChar w:fldCharType="begin"/>
      <w:instrText xml:space="preserve">PAGE</w:instrText>
      <w:fldChar w:fldCharType="separate"/>
      <w:fldChar w:fldCharType="end"/>
    </w:r>
    <w:r>
      <w:rPr>
        <w:rFonts w:ascii="Consolas" w:cs="Consolas" w:eastAsia="Consolas" w:hAnsi="Consolas"/>
        <w:color w:val="5B6470"/>
        <w:sz w:val="16"/>
        <w:szCs w:val="16"/>
      </w:rPr>
      <w:t xml:space="preserve"> of </w:t>
    </w:r>
    <w:r>
      <w:rPr>
        <w:rFonts w:ascii="Consolas" w:cs="Consolas" w:eastAsia="Consolas" w:hAnsi="Consolas"/>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8" w:sz="2"/>
      </w:pBdr>
      <w:tabs>
        <w:tab w:val="right" w:pos="9026"/>
      </w:tabs>
    </w:pPr>
    <w:r>
      <w:rPr>
        <w:rFonts w:ascii="Consolas" w:cs="Consolas" w:eastAsia="Consolas" w:hAnsi="Consolas"/>
        <w:color w:val="5B6470"/>
        <w:sz w:val="14"/>
        <w:szCs w:val="14"/>
      </w:rPr>
      <w:t xml:space="preserve">LOCAL LLM CHATBOT WORKSTATION — EDS</w:t>
    </w:r>
    <w:r>
      <w:rPr>
        <w:rFonts w:ascii="Consolas" w:cs="Consolas" w:eastAsia="Consolas" w:hAnsi="Consolas"/>
        <w:sz w:val="14"/>
        <w:szCs w:val="14"/>
      </w:rPr>
      <w:t xml:space="preserve">	</w:t>
    </w:r>
    <w:r>
      <w:rPr>
        <w:rFonts w:ascii="Consolas" w:cs="Consolas" w:eastAsia="Consolas" w:hAnsi="Consolas"/>
        <w:color w:val="5B6470"/>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2026-07-19T23:23:15.616Z</dcterms:created>
  <dcterms:modified xsi:type="dcterms:W3CDTF">2026-07-19T23:23:15.631Z</dcterms:modified>
</cp:coreProperties>
</file>

<file path=docProps/custom.xml><?xml version="1.0" encoding="utf-8"?>
<Properties xmlns="http://schemas.openxmlformats.org/officeDocument/2006/custom-properties" xmlns:vt="http://schemas.openxmlformats.org/officeDocument/2006/docPropsVTypes"/>
</file>