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CEDUP Abílio Paulo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Bruno Vassoler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3-53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t>Recuperação Anual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Posto de Saúde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Requisitos Funcionais: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sz w:val="28"/>
        </w:rPr>
      </w:pPr>
      <w:r>
        <w:rPr>
          <w:b w:val="false"/>
          <w:bCs w:val="false"/>
          <w:sz w:val="28"/>
          <w:szCs w:val="28"/>
        </w:rPr>
        <w:t>R1- Excluir/Criar/Alterar cadastro do sistema.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R2- Alterar senha do perfil.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R3- Mostrar os postos de saúde.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R4- Marcar consulta no site.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R5- Buscar postos de saúde disponíveis.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Não-Funcionais: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RN1- FUNCIONALIDADE: Funcional no sistema.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RN2- CONFIABILIDADE: Site seguro e confiável.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RN3- USABILIDADE: Fácil entendimento do uso do site.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RN4- EFICIÊNCIA: Eficiente em fazer o que é pedido.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RN5- MANUTENIBILIDADE: Boa manutenção caso haja problemas.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RN6- PORTABILIDADE: Funciona muito bem com Web e Mobile(Android).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Uso: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488315</wp:posOffset>
            </wp:positionH>
            <wp:positionV relativeFrom="paragraph">
              <wp:posOffset>303530</wp:posOffset>
            </wp:positionV>
            <wp:extent cx="4893310" cy="24930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572135</wp:posOffset>
            </wp:positionV>
            <wp:extent cx="6120130" cy="38423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eneralização/especialização: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6120130" cy="386524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iagrama de Atividade: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Dados Conceitual: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989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Citação Direta Curta: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rPr/>
      </w:pPr>
      <w:r>
        <w:rPr/>
        <w:t xml:space="preserve">De acordo com o Governo de Santa Catarina (2020) “Já foram confirmados casos em todos os 295 municípios catarinenses e 250 cidades registraram pelo menos um óbito. O local com a maior quantidade de pessoas que já contraíram Covid-19 é Joinville,  seguida por Florianópolis, Blumenau, São José (20.156), Criciúma (16.404)”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Citação Indireta: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Nesta segunda-feira, 14/12/2020, foi realizada uma reunião </w:t>
      </w:r>
      <w:r>
        <w:rPr/>
        <w:t>com representantes do laboratório Sinovac e com representantes do Instituto Nacional para Doenças Infecciosas Lazzaro Spallanzani.</w:t>
      </w:r>
    </w:p>
    <w:p>
      <w:pPr>
        <w:pStyle w:val="Normal"/>
        <w:bidi w:val="0"/>
        <w:jc w:val="left"/>
        <w:rPr/>
      </w:pPr>
      <w:r>
        <w:rPr/>
        <w:t>Foi afirmado que há possibilidade</w:t>
      </w:r>
      <w:r>
        <w:rPr/>
        <w:t xml:space="preserve"> </w:t>
      </w:r>
      <w:r>
        <w:rPr/>
        <w:t xml:space="preserve">de importação da vacina chinesa diretamente do fabricante, </w:t>
      </w:r>
      <w:r>
        <w:rPr/>
        <w:t>mas p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or parte da</w:t>
      </w:r>
      <w:r>
        <w:rPr/>
        <w:t xml:space="preserve"> vacina italiana, foi oferecida a Santa Catarina de participar dos teste da fase 3 do produto. O</w:t>
      </w:r>
      <w:r>
        <w:rPr/>
        <w:t xml:space="preserve"> Estado 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ainda está com o</w:t>
      </w:r>
      <w:r>
        <w:rPr/>
        <w:t xml:space="preserve"> Plano Nacional de Imunização do Governo Federal, acrescentando </w:t>
      </w:r>
      <w:r>
        <w:rPr/>
        <w:t>que</w:t>
      </w:r>
      <w:r>
        <w:rPr/>
        <w:t xml:space="preserve"> está finalizado e deve ser divulgado até a próxima quarta-feira, 16/</w:t>
      </w:r>
      <w:r>
        <w:rPr/>
        <w:t>12/2020</w:t>
      </w:r>
      <w:r>
        <w:rPr/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Fontes: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LinkdaInternet"/>
            <w:b w:val="false"/>
            <w:bCs w:val="false"/>
            <w:sz w:val="24"/>
            <w:szCs w:val="24"/>
          </w:rPr>
          <w:t>https://www.sc.gov.br/noticias/temas/coronavirus/coronavirus-em-sc-saude-debate-vacinacao-contra-covid-19-no-estado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9">
        <w:r>
          <w:rPr>
            <w:rStyle w:val="LinkdaInternet"/>
            <w:b w:val="false"/>
            <w:bCs w:val="false"/>
            <w:sz w:val="24"/>
            <w:szCs w:val="24"/>
          </w:rPr>
          <w:t>https://www.sc.gov.br/noticias/temas/coronavirus/coronavirus-em-sc-estado-confirma-432-050-casos-401-297-recuperados-e-4-420-mortes-por-covid-19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Metodologias Ágeis: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são?</w:t>
      </w:r>
    </w:p>
    <w:p>
      <w:pPr>
        <w:pStyle w:val="Normal"/>
        <w:bidi w:val="0"/>
        <w:rPr/>
      </w:pPr>
      <w:r>
        <w:rPr>
          <w:rStyle w:val="Nfaseforte"/>
          <w:b w:val="false"/>
          <w:bCs w:val="false"/>
        </w:rPr>
        <w:t>S</w:t>
      </w:r>
      <w:r>
        <w:rPr>
          <w:rStyle w:val="Nfaseforte"/>
          <w:b w:val="false"/>
          <w:bCs w:val="false"/>
        </w:rPr>
        <w:t>ão conjuntos de práticas que proporcionam uma forma de gerenciar projetos mais adaptável às mudanças</w:t>
      </w:r>
      <w:r>
        <w:rPr>
          <w:b w:val="false"/>
          <w:bCs w:val="false"/>
        </w:rPr>
        <w:t>.</w:t>
      </w:r>
      <w:r>
        <w:rPr/>
        <w:t xml:space="preserve">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Para que servem?</w:t>
      </w:r>
    </w:p>
    <w:p>
      <w:pPr>
        <w:pStyle w:val="Normal"/>
        <w:bidi w:val="0"/>
        <w:rPr/>
      </w:pPr>
      <w:r>
        <w:rPr/>
        <w:t>A</w:t>
      </w:r>
      <w:r>
        <w:rPr/>
        <w:t xml:space="preserve">s metodologias ágeis </w:t>
      </w:r>
      <w:r>
        <w:rPr>
          <w:rStyle w:val="Nfaseforte"/>
          <w:b w:val="false"/>
          <w:bCs w:val="false"/>
        </w:rPr>
        <w:t xml:space="preserve">têm como principal restrição o tempo </w:t>
      </w:r>
      <w:r>
        <w:rPr/>
        <w:t xml:space="preserve">e são caracterizadas por produzirem </w:t>
      </w:r>
      <w:r>
        <w:rPr>
          <w:rStyle w:val="Nfaseforte"/>
          <w:b w:val="false"/>
          <w:bCs w:val="false"/>
        </w:rPr>
        <w:t>entregas rápidas e frequentes</w:t>
      </w:r>
      <w:r>
        <w:rPr>
          <w:b w:val="false"/>
          <w:bCs w:val="false"/>
        </w:rPr>
        <w:t>.</w:t>
      </w:r>
      <w:r>
        <w:rPr/>
        <w:t xml:space="preserve">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</w:rPr>
        <w:t xml:space="preserve">SCRUM: </w:t>
      </w:r>
      <w:r>
        <w:rPr/>
        <w:t xml:space="preserve">é um framework que contém processos e técnicas de gestão ágil para o desenvolvimento de projetos de software. No Scrum, as pessoas envolvidas no projeto podem assumir três papéis: product owner, scrum master e development team, que juntos formam o </w:t>
      </w:r>
      <w:r>
        <w:rPr>
          <w:rStyle w:val="Nfaseforte"/>
          <w:b w:val="false"/>
          <w:bCs w:val="false"/>
        </w:rPr>
        <w:t>scrum team</w:t>
      </w:r>
      <w:r>
        <w:rPr/>
        <w:t xml:space="preserve">.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Regras de Negócio: </w:t>
      </w:r>
    </w:p>
    <w:p>
      <w:pPr>
        <w:pStyle w:val="Normal"/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marcar uma consulta:</w:t>
      </w:r>
    </w:p>
    <w:p>
      <w:pPr>
        <w:pStyle w:val="Normal"/>
        <w:bidi w:val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“</w:t>
      </w:r>
      <w:r>
        <w:rPr>
          <w:b w:val="false"/>
          <w:bCs w:val="false"/>
          <w:sz w:val="24"/>
          <w:szCs w:val="24"/>
        </w:rPr>
        <w:t xml:space="preserve">O paciente deverá ter cadastro no site, não pode haver mais de </w:t>
      </w:r>
      <w:r>
        <w:rPr>
          <w:b w:val="false"/>
          <w:bCs w:val="false"/>
          <w:sz w:val="24"/>
          <w:szCs w:val="24"/>
        </w:rPr>
        <w:t>duas</w:t>
      </w:r>
      <w:r>
        <w:rPr>
          <w:b w:val="false"/>
          <w:bCs w:val="false"/>
          <w:sz w:val="24"/>
          <w:szCs w:val="24"/>
        </w:rPr>
        <w:t xml:space="preserve"> faltas das consultas anteriores </w:t>
      </w:r>
      <w:r>
        <w:rPr>
          <w:b w:val="false"/>
          <w:bCs w:val="false"/>
          <w:sz w:val="24"/>
          <w:szCs w:val="24"/>
        </w:rPr>
        <w:t>num período de um ano, os cancelamentos de consultas só poderão ser alterados com 48 horas de antecedência</w:t>
      </w:r>
      <w:r>
        <w:rPr>
          <w:b w:val="false"/>
          <w:bCs w:val="false"/>
          <w:sz w:val="24"/>
          <w:szCs w:val="24"/>
        </w:rPr>
        <w:t>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s://www.sc.gov.br/noticias/temas/coronavirus/coronavirus-em-sc-saude-debate-vacinacao-contra-covid-19-no-estado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sc.gov.br/noticias/temas/coronavirus/coronavirus-em-sc-estado-confirma-432-050-casos-401-297-recuperados-e-4-420-mortes-por-covid-19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LibreOffice/6.4.5.2$Windows_X86_64 LibreOffice_project/a726b36747cf2001e06b58ad5db1aa3a9a1872d6</Application>
  <Pages>4</Pages>
  <Words>363</Words>
  <Characters>2343</Characters>
  <CharactersWithSpaces>2681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2020-12-14T16:03:03Z</dcterms:created>
  <dc:creator/>
  <dc:description/>
  <dc:language>pt-BR</dc:language>
  <cp:lastModifiedBy/>
  <dcterms:modified xsi:type="dcterms:W3CDTF">2020-12-15T00:35:07Z</dcterms:modified>
  <cp:revision>3</cp:revision>
  <dc:subject/>
  <dc:title/>
</cp:coreProperties>
</file>