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dispenser's lock and dispensing control (§4.3)</w:t>
                  </w:r>
                </w:p>
              </w:tc>
              <w:tc>
                <w:tcPr>
                  <w:tcW w:type="dxa" w:w="2441"/>
                </w:tcPr>
                <w:p>
                  <w:r>
                    <w:rPr>
                      <w:rFonts w:ascii="Times New Roman" w:hAnsi="Times New Roman" w:eastAsia="바탕"/>
                      <w:sz w:val="18"/>
                    </w:rPr>
                    <w:t>SDG 3.9 · §5.8</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Four conditions have data we checked at source; four have only a shared mechanism.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after="80" w:line="276" w:lineRule="auto"/>
              <w:jc w:val="both"/>
            </w:pPr>
            <w:r>
              <w:rPr>
                <w:rFonts w:ascii="Times New Roman" w:hAnsi="Times New Roman" w:eastAsia="바탕"/>
                <w:sz w:val="20"/>
              </w:rPr>
              <w:t>The limits of the screen belong here too. A bar fills when a paired box has recorded a dispense or when the user has left a scan. A dose taken by hand, with no box and no scan, stays recorded as missed. What this calendar measures, then, is not taking medicine but taking medicine through this app, and that difference is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2026-08-04T07:47:48Z</dcterms:modified>
</cp:coreProperties>
</file>