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In the United States the cost of medication non-adherence is estimated at 100 billion dollars a year in direct costs and as much as 300 billion including indirect costs, with roughly 125,000 deaths a year and at least 10% of hospitalisations cited as associated with non-adherence (Duke Health, "Medication Nonadherence Increases Health Costs, Hospital Readmissions").</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The most widely used pharmaceutical pictogram standard at present is the 81-symbol set from the United States Pharmacopeia (USP). Work began in 1987 and the current set was completed in 1997, organised into three categories: mandatory (square), prohibition (circle with slash) and warning (inverted triangle) (U.S. Pharmacopeia).</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The USP licence prohibits altering the pictograms or using them together with symbols not created by USP without USP's permission (U.S. Pharmacopeia, </w:t>
            </w:r>
            <w:r>
              <w:rPr>
                <w:rFonts w:ascii="Times New Roman" w:hAnsi="Times New Roman" w:eastAsia="바탕"/>
                <w:i/>
                <w:sz w:val="20"/>
              </w:rPr>
              <w:t>USP Pictogram Library License Agreement</w:t>
            </w:r>
            <w:r>
              <w:rPr>
                <w:rFonts w:ascii="Times New Roman" w:hAnsi="Times New Roman" w:eastAsia="바탕"/>
                <w:sz w:val="20"/>
              </w:rPr>
              <w:t>). Combination will therefore remain impossible for as long as the standard is observed.</w:t>
            </w:r>
          </w:p>
          <w:p>
            <w:pPr>
              <w:spacing w:after="80" w:line="276" w:lineRule="auto"/>
              <w:jc w:val="both"/>
            </w:pPr>
            <w:r>
              <w:rPr>
                <w:rFonts w:ascii="Times New Roman" w:hAnsi="Times New Roman" w:eastAsia="바탕"/>
                <w:sz w:val="20"/>
              </w:rPr>
              <w:t>The second of those clauses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21(b)).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21(b)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7,816</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14,227</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156</w:t>
                  </w:r>
                </w:p>
              </w:tc>
              <w:tc>
                <w:tcPr>
                  <w:tcW w:type="dxa" w:w="2429"/>
                </w:tcPr>
                <w:p>
                  <w:r>
                    <w:rPr>
                      <w:rFonts w:ascii="Times New Roman" w:hAnsi="Times New Roman" w:eastAsia="바탕"/>
                      <w:sz w:val="18"/>
                    </w:rPr>
                    <w:t>46,214</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122</w:t>
                  </w:r>
                </w:p>
              </w:tc>
              <w:tc>
                <w:tcPr>
                  <w:tcW w:type="dxa" w:w="2429"/>
                </w:tcPr>
                <w:p>
                  <w:r>
                    <w:rPr>
                      <w:rFonts w:ascii="Times New Roman" w:hAnsi="Times New Roman" w:eastAsia="바탕"/>
                      <w:sz w:val="18"/>
                    </w:rPr>
                    <w:t>113,559</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345</w:t>
                  </w:r>
                </w:p>
              </w:tc>
              <w:tc>
                <w:tcPr>
                  <w:tcW w:type="dxa" w:w="2429"/>
                </w:tcPr>
                <w:p>
                  <w:r>
                    <w:rPr>
                      <w:rFonts w:ascii="Times New Roman" w:hAnsi="Times New Roman" w:eastAsia="바탕"/>
                      <w:sz w:val="18"/>
                    </w:rPr>
                    <w:t>345 pass</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663</w:t>
                  </w:r>
                </w:p>
              </w:tc>
              <w:tc>
                <w:tcPr>
                  <w:tcW w:type="dxa" w:w="2429"/>
                </w:tcPr>
                <w:p>
                  <w:r>
                    <w:rPr>
                      <w:rFonts w:ascii="Times New Roman" w:hAnsi="Times New Roman" w:eastAsia="바탕"/>
                      <w:sz w:val="18"/>
                    </w:rPr>
                    <w:t xml:space="preserve">549 pass · 79 skipped · </w:t>
                  </w:r>
                  <w:r>
                    <w:rPr>
                      <w:rFonts w:ascii="Times New Roman" w:hAnsi="Times New Roman" w:eastAsia="바탕"/>
                      <w:b/>
                      <w:sz w:val="18"/>
                    </w:rPr>
                    <w:t>35 fail</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 35 failures are set down here. They are tests of the OLED screen rendering, and the screen specification is still being settled by the person responsible for the device, so they were left rather than guessed at. That these 663 were for a while not running at all is also set down. Eight screen constants disappeared in one commit, and since every test file goes through that module, all of them stopped at import. Restoring them revealed the 35.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22,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There is a condition attached here as well. This project used AI coding tools throughout development, and we do not hide it. Nowhere was what a tool produced left as it stood. The defects recorded in this document, such as 12 of 37 citations differing from their sources (§5.9) or the morpheme checker passing four rings as "four" (§5.2), were all found by a person checking again.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200 samples drawn at fixed intervals from 5,578 handwritten drug names cut from real Bangladeshi prescriptions (RxHandBD, Zenodo 18478741, MIT licence). Bangladesh is the country of respondent Aliya Naheed, Senior Scientist. The result: read exactly, 47%; off by a character or two, 26%; read as something else entirely, 26%.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At a threshold of 0.4, 44% survive and only 74% of those are correct; at 0.6, 4% survive. No threshold satisfies accuracy and coverage together, so treating all handwriting without confidence, as the app now does, is the only honest choice left. One thing is reassuring: not one of the 200 was wrong while carrying confidence of 0.8 or higher. The model does say it cannot read what it cannot read.</w:t>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How 200 handwritten drug names were read, and why confidence cannot filter them. The right panel is the design basis: the share surviving (grey) and the accuracy of the survivors (blue) move in opposite directions, so no threshold satisfies both, and all handwriting is therefore handled without confidence.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From 200 Bangladeshi prescription pages annotated with the number of drug-name regions (Mendeley k62rfd23kz, CC BY 4.0), 60 were drawn at fixed intervals and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the same 60 pages were measured again. Recognition as a prescription rose from 81.7% to 98.3%, recall of the medicine count from 89.7% to 91.0%, all 60 were flagged handwritten, and no page had an invented schedule. Opening the 4 pages that carried one showed each was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The same 60 pages measured before and after the fix. The gap in the left pair is the 11 truncated replies. A caveat belongs beside it: the two values must not be multiplied together. The 91% recall is a count, not letter accuracy; letter accuracy is the 47% of Figure 41. Different sample, different task.</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A mistranslated dosing instruction causes exactly the harm this app exists to prevent.</w:t>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test count went from 231 to 345.</w:t>
            </w:r>
          </w:p>
          <w:p>
            <w:pPr>
              <w:spacing w:before="120" w:after="20"/>
            </w:pPr>
            <w:r>
              <w:rPr>
                <w:rFonts w:ascii="Times New Roman" w:hAnsi="Times New Roman" w:eastAsia="바탕"/>
                <w:b/>
                <w:sz w:val="21"/>
              </w:rPr>
              <w:t>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