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is a web app that answers a single photograph of a prescription, a nutrition label, a medicine or a meal with a picture, a spoken sentence and one colour, so that adults with low literacy and older adults who cannot read, or read only with difficulty, can take their medicine and choose their food on their own. Worldwide 739 million adults lack basic literacy skills and even across 31 developed countries 18% of adults fall below the most elementary level, and these people are cut off from the content of a prescription from the moment they receive it, which exposes them to dosing errors, treatment failure and antibiotic resistance. The app never asks the user to read or type anywhere on screen, using two engines we built ourselves, SIGIL, which composes pictograms through a grammar of 78 morphemes, and VOCA, which reconstructs spoken instructions, and its verdicts are computed on the device from thresholds derived from the user's age and conditions, so the app works without an internet connection.</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The size and trend of the non-literate population</w:t>
            </w:r>
          </w:p>
          <w:p>
            <w:pPr>
              <w:spacing w:after="80" w:line="276" w:lineRule="auto"/>
              <w:jc w:val="both"/>
            </w:pPr>
            <w:r>
              <w:rPr>
                <w:rFonts w:ascii="Times New Roman" w:hAnsi="Times New Roman" w:eastAsia="바탕"/>
                <w:sz w:val="20"/>
              </w:rPr>
              <w:t xml:space="preserve">There are 739 million non-literate adults worldwide, and roughly two thirds of them, 466 million, are women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adult literacy rate rose from 86% in 2015 to 88% in 2024, so on the numbers alone the situation is improving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There are regions, however, where the improvement in the rate has not kept pace with population growth. In sub-Saharan Africa the literacy rate rose from 65% to 69% over the same period, yet the absolute number of non-literate adults grew from 196 million to 225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Central and Southern Asia follows with 347 million, the second largest total after sub-Saharan Africa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More than half of all non-literate adults, 441 million people, are concentrated in ten countries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This is therefore not the kind of problem that time resolves on its own. While education expands, the number of people collecting medicine today does not fall.</w:t>
            </w:r>
          </w:p>
          <w:p>
            <w:pPr>
              <w:spacing w:after="80" w:line="276" w:lineRule="auto"/>
              <w:jc w:val="both"/>
            </w:pPr>
            <w:r>
              <w:rPr>
                <w:rFonts w:ascii="Times New Roman" w:hAnsi="Times New Roman" w:eastAsia="바탕"/>
                <w:sz w:val="20"/>
              </w:rPr>
              <w:t xml:space="preserve">Averages hide the size of the problem. The fifteen countries with the lowest adult literacy rates fall between 29% and 60%, and Chad stands at 28%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 values below are not period averages. Each is </w:t>
            </w:r>
            <w:r>
              <w:rPr>
                <w:rFonts w:ascii="Times New Roman" w:hAnsi="Times New Roman" w:eastAsia="바탕"/>
                <w:b/>
                <w:sz w:val="20"/>
              </w:rPr>
              <w:t>the value from the single most recent survey year available for that country within the 2015 to 2024 census round</w:t>
            </w:r>
            <w:r>
              <w:rPr>
                <w:rFonts w:ascii="Times New Roman" w:hAnsi="Times New Roman" w:eastAsia="바탕"/>
                <w:sz w:val="20"/>
              </w:rPr>
              <w:t>, so the reference year differs from country to country. National literacy rates vary considerably with survey year and definition (the same country can differ by more than 10 percentage points across different compilations), so only values from within a single source are used here, which keeps them comparable with one another.</w:t>
            </w:r>
          </w:p>
          <w:p>
            <w:pPr>
              <w:spacing w:after="80" w:line="276" w:lineRule="auto"/>
              <w:jc w:val="both"/>
            </w:pPr>
            <w:r>
              <w:rPr>
                <w:rFonts w:ascii="Times New Roman" w:hAnsi="Times New Roman" w:eastAsia="바탕"/>
                <w:sz w:val="20"/>
              </w:rPr>
              <w:t xml:space="preserve">[Table 1] Countries with low adult literacy rates (2015–2024 census round; UNESCO, </w:t>
            </w:r>
            <w:r>
              <w:rPr>
                <w:rFonts w:ascii="Times New Roman" w:hAnsi="Times New Roman" w:eastAsia="바탕"/>
                <w:i/>
                <w:sz w:val="20"/>
              </w:rPr>
              <w:t>Youth and Adult Literacy: International Literacy Day 2025 Factsheet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r>
            <w:tr>
              <w:tc>
                <w:tcPr>
                  <w:tcW w:type="dxa" w:w="2441"/>
                </w:tcPr>
                <w:p>
                  <w:r>
                    <w:rPr>
                      <w:rFonts w:ascii="Times New Roman" w:hAnsi="Times New Roman" w:eastAsia="바탕"/>
                      <w:sz w:val="18"/>
                    </w:rPr>
                    <w:t>Chad</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Guinea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South Sudan</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Liberia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Burkina Faso</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Somalia</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Niger</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Guinea-Bissau</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Central African Republic</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Benin</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Mali</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Sierra Leone</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In Chad seven adults in ten cannot read a prescription. In these countries a paper prescription is close to a literally blank sheet.</w:t>
            </w:r>
          </w:p>
          <w:p>
            <w:pPr>
              <w:spacing w:after="80" w:line="276" w:lineRule="auto"/>
              <w:jc w:val="both"/>
            </w:pPr>
            <w:r>
              <w:rPr>
                <w:rFonts w:ascii="Times New Roman" w:hAnsi="Times New Roman" w:eastAsia="바탕"/>
                <w:sz w:val="20"/>
              </w:rPr>
              <w:t>The countries with the worst rates and the countries with the most people, however, largely do not overlap. More than half of all non-literate adults, 441 million, are concentrated in ten countries, and those ten are mostly populous ones.</w:t>
            </w:r>
          </w:p>
          <w:p>
            <w:pPr>
              <w:spacing w:after="80" w:line="276" w:lineRule="auto"/>
              <w:jc w:val="both"/>
            </w:pPr>
            <w:r>
              <w:rPr>
                <w:rFonts w:ascii="Times New Roman" w:hAnsi="Times New Roman" w:eastAsia="바탕"/>
                <w:sz w:val="20"/>
              </w:rPr>
              <w:t xml:space="preserve">[Table 2] The ten countries with the most non-literate adults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r>
            <w:tr>
              <w:tc>
                <w:tcPr>
                  <w:tcW w:type="dxa" w:w="2441"/>
                </w:tcPr>
                <w:p>
                  <w:r>
                    <w:rPr>
                      <w:rFonts w:ascii="Times New Roman" w:hAnsi="Times New Roman" w:eastAsia="바탕"/>
                      <w:sz w:val="18"/>
                    </w:rPr>
                    <w:t>India</w:t>
                  </w:r>
                </w:p>
              </w:tc>
              <w:tc>
                <w:tcPr>
                  <w:tcW w:type="dxa" w:w="2441"/>
                </w:tcPr>
                <w:p>
                  <w:r>
                    <w:rPr>
                      <w:rFonts w:ascii="Times New Roman" w:hAnsi="Times New Roman" w:eastAsia="바탕"/>
                      <w:sz w:val="18"/>
                    </w:rPr>
                    <w:t>191 million</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30 million</w:t>
                  </w:r>
                </w:p>
              </w:tc>
            </w:tr>
            <w:tr>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59 million</w:t>
                  </w:r>
                </w:p>
              </w:tc>
              <w:tc>
                <w:tcPr>
                  <w:tcW w:type="dxa" w:w="2441"/>
                </w:tcPr>
                <w:p>
                  <w:r>
                    <w:rPr>
                      <w:rFonts w:ascii="Times New Roman" w:hAnsi="Times New Roman" w:eastAsia="바탕"/>
                      <w:sz w:val="18"/>
                    </w:rPr>
                    <w:t>Bangladesh</w:t>
                  </w:r>
                </w:p>
              </w:tc>
              <w:tc>
                <w:tcPr>
                  <w:tcW w:type="dxa" w:w="2441"/>
                </w:tcPr>
                <w:p>
                  <w:r>
                    <w:rPr>
                      <w:rFonts w:ascii="Times New Roman" w:hAnsi="Times New Roman" w:eastAsia="바탕"/>
                      <w:sz w:val="18"/>
                    </w:rPr>
                    <w:t>25 million</w:t>
                  </w:r>
                </w:p>
              </w:tc>
            </w:tr>
            <w:tr>
              <w:tc>
                <w:tcPr>
                  <w:tcW w:type="dxa" w:w="2441"/>
                </w:tcPr>
                <w:p>
                  <w:r>
                    <w:rPr>
                      <w:rFonts w:ascii="Times New Roman" w:hAnsi="Times New Roman" w:eastAsia="바탕"/>
                      <w:sz w:val="18"/>
                    </w:rPr>
                    <w:t>Nigeria</w:t>
                  </w:r>
                </w:p>
              </w:tc>
              <w:tc>
                <w:tcPr>
                  <w:tcW w:type="dxa" w:w="2441"/>
                </w:tcPr>
                <w:p>
                  <w:r>
                    <w:rPr>
                      <w:rFonts w:ascii="Times New Roman" w:hAnsi="Times New Roman" w:eastAsia="바탕"/>
                      <w:sz w:val="18"/>
                    </w:rPr>
                    <w:t>43 million</w:t>
                  </w:r>
                </w:p>
              </w:tc>
              <w:tc>
                <w:tcPr>
                  <w:tcW w:type="dxa" w:w="2441"/>
                </w:tcPr>
                <w:p>
                  <w:r>
                    <w:rPr>
                      <w:rFonts w:ascii="Times New Roman" w:hAnsi="Times New Roman" w:eastAsia="바탕"/>
                      <w:sz w:val="18"/>
                    </w:rPr>
                    <w:t>Egypt</w:t>
                  </w:r>
                </w:p>
              </w:tc>
              <w:tc>
                <w:tcPr>
                  <w:tcW w:type="dxa" w:w="2441"/>
                </w:tcPr>
                <w:p>
                  <w:r>
                    <w:rPr>
                      <w:rFonts w:ascii="Times New Roman" w:hAnsi="Times New Roman" w:eastAsia="바탕"/>
                      <w:sz w:val="18"/>
                    </w:rPr>
                    <w:t>19 million</w:t>
                  </w:r>
                </w:p>
              </w:tc>
            </w:tr>
            <w:tr>
              <w:tc>
                <w:tcPr>
                  <w:tcW w:type="dxa" w:w="2441"/>
                </w:tcPr>
                <w:p>
                  <w:r>
                    <w:rPr>
                      <w:rFonts w:ascii="Times New Roman" w:hAnsi="Times New Roman" w:eastAsia="바탕"/>
                      <w:sz w:val="18"/>
                    </w:rPr>
                    <w:t>China</w:t>
                  </w:r>
                </w:p>
              </w:tc>
              <w:tc>
                <w:tcPr>
                  <w:tcW w:type="dxa" w:w="2441"/>
                </w:tcPr>
                <w:p>
                  <w:r>
                    <w:rPr>
                      <w:rFonts w:ascii="Times New Roman" w:hAnsi="Times New Roman" w:eastAsia="바탕"/>
                      <w:sz w:val="18"/>
                    </w:rPr>
                    <w:t>38 million</w:t>
                  </w:r>
                </w:p>
              </w:tc>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14 million</w:t>
                  </w:r>
                </w:p>
              </w:tc>
            </w:tr>
            <w:tr>
              <w:tc>
                <w:tcPr>
                  <w:tcW w:type="dxa" w:w="2441"/>
                </w:tcPr>
                <w:p/>
              </w:tc>
              <w:tc>
                <w:tcPr>
                  <w:tcW w:type="dxa" w:w="2441"/>
                </w:tcPr>
                <w:p/>
              </w:tc>
              <w:tc>
                <w:tcPr>
                  <w:tcW w:type="dxa" w:w="2441"/>
                </w:tcPr>
                <w:p>
                  <w:r>
                    <w:rPr>
                      <w:rFonts w:ascii="Times New Roman" w:hAnsi="Times New Roman" w:eastAsia="바탕"/>
                      <w:sz w:val="18"/>
                    </w:rPr>
                    <w:t>Brazil</w:t>
                  </w:r>
                </w:p>
              </w:tc>
              <w:tc>
                <w:tcPr>
                  <w:tcW w:type="dxa" w:w="2441"/>
                </w:tcPr>
                <w:p>
                  <w:r>
                    <w:rPr>
                      <w:rFonts w:ascii="Times New Roman" w:hAnsi="Times New Roman" w:eastAsia="바탕"/>
                      <w:sz w:val="18"/>
                    </w:rPr>
                    <w:t>11 million</w:t>
                  </w:r>
                </w:p>
              </w:tc>
            </w:tr>
            <w:tr>
              <w:tc>
                <w:tcPr>
                  <w:tcW w:type="dxa" w:w="2441"/>
                </w:tcPr>
                <w:p/>
              </w:tc>
              <w:tc>
                <w:tcPr>
                  <w:tcW w:type="dxa" w:w="2441"/>
                </w:tcPr>
                <w:p/>
              </w:tc>
              <w:tc>
                <w:tcPr>
                  <w:tcW w:type="dxa" w:w="2441"/>
                </w:tcPr>
                <w:p>
                  <w:r>
                    <w:rPr>
                      <w:rFonts w:ascii="Times New Roman" w:hAnsi="Times New Roman" w:eastAsia="바탕"/>
                      <w:sz w:val="18"/>
                    </w:rPr>
                    <w:t>DR Congo</w:t>
                  </w:r>
                </w:p>
              </w:tc>
              <w:tc>
                <w:tcPr>
                  <w:tcW w:type="dxa" w:w="2441"/>
                </w:tcPr>
                <w:p>
                  <w:r>
                    <w:rPr>
                      <w:rFonts w:ascii="Times New Roman" w:hAnsi="Times New Roman" w:eastAsia="바탕"/>
                      <w:sz w:val="18"/>
                    </w:rPr>
                    <w:t>11 million</w:t>
                  </w:r>
                </w:p>
              </w:tc>
            </w:tr>
          </w:tbl>
          <w:p/>
          <w:p>
            <w:pPr>
              <w:spacing w:after="120"/>
            </w:pPr>
          </w:p>
          <w:p>
            <w:pPr>
              <w:spacing w:after="80" w:line="276" w:lineRule="auto"/>
              <w:jc w:val="both"/>
            </w:pPr>
            <w:r>
              <w:rPr>
                <w:rFonts w:ascii="Times New Roman" w:hAnsi="Times New Roman" w:eastAsia="바탕"/>
                <w:b/>
                <w:sz w:val="20"/>
              </w:rPr>
              <w:t>Ten countries total 441 million (60% of the worldwide 739 million)</w:t>
            </w:r>
          </w:p>
          <w:p>
            <w:pPr>
              <w:spacing w:after="80" w:line="276" w:lineRule="auto"/>
              <w:jc w:val="both"/>
            </w:pPr>
            <w:r>
              <w:rPr>
                <w:rFonts w:ascii="Times New Roman" w:hAnsi="Times New Roman" w:eastAsia="바탕"/>
                <w:sz w:val="20"/>
              </w:rPr>
              <w:t>Placing the two tables side by side shows what kind of problem this is. Only three countries appear in both Table 1 and Table 2: Pakistan, Ethiopia and Afghanistan. The rest are either countries with the world's worst rates whose small populations keep them out of the totals (Chad, South Sudan, Guinea-Bissau) or countries whose rates are near the world average but whose populations make the head count overwhelming (India, China, Brazil).</w:t>
            </w:r>
          </w:p>
          <w:p>
            <w:pPr>
              <w:spacing w:after="80" w:line="276" w:lineRule="auto"/>
              <w:jc w:val="both"/>
            </w:pPr>
            <w:r>
              <w:rPr>
                <w:rFonts w:ascii="Times New Roman" w:hAnsi="Times New Roman" w:eastAsia="바탕"/>
                <w:sz w:val="20"/>
              </w:rPr>
              <w:t>This distinction affects the design. Where the rate is high the app is dealing with the condition of the majority, and where the head count is high it is dealing with a minority that is nonetheless very large in absolute terms. India's literacy rate is 81%, close to the world average, but that remaining 19% is 191 million people. Either way the problem at the moment one person collects their medicine is the same, and it is the head count rather than the rate that sets the size of what this app has to reach.</w:t>
            </w:r>
          </w:p>
          <w:p>
            <w:pPr>
              <w:spacing w:after="80" w:line="276" w:lineRule="auto"/>
              <w:jc w:val="both"/>
            </w:pPr>
            <w:r>
              <w:rPr>
                <w:rFonts w:ascii="Times New Roman" w:hAnsi="Times New Roman" w:eastAsia="바탕"/>
                <w:sz w:val="20"/>
              </w:rPr>
              <w:t xml:space="preserve">The distribution is also uneven within a single country. In some sub-Saharan African countries </w:t>
            </w:r>
            <w:r>
              <w:rPr>
                <w:rFonts w:ascii="Times New Roman" w:hAnsi="Times New Roman" w:eastAsia="바탕"/>
                <w:b/>
                <w:sz w:val="20"/>
              </w:rPr>
              <w:t>the literacy rate among older women is 31% against 55% among older men</w:t>
            </w:r>
            <w:r>
              <w:rPr>
                <w:rFonts w:ascii="Times New Roman" w:hAnsi="Times New Roman" w:eastAsia="바탕"/>
                <w:sz w:val="20"/>
              </w:rPr>
              <w:t xml:space="preserve">, while among men in parts of Europe and North America it is 99%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The expert responses quoted from this section onward are not carried over from someone else's survey; we collected them ourselves. Over three hours before dawn on 31 July 2026 we sent 1,103 individual emails, each carrying a different link that opened a working demonstration of the app together with the questions. Thirty-nine people answered, all consenting to be quoted by name and affiliation, and all 124 free-text answers are reproduced in full in §5.11. How the list was built and how it was sent are in §5.7.1 and §5.7.2. Every quotation below comes from that survey, and the question it answers is named with it.</w:t>
            </w:r>
          </w:p>
          <w:p>
            <w:pPr>
              <w:spacing w:after="80" w:line="276" w:lineRule="auto"/>
              <w:jc w:val="both"/>
            </w:pPr>
            <w:r>
              <w:rPr>
                <w:rFonts w:ascii="Times New Roman" w:hAnsi="Times New Roman" w:eastAsia="바탕"/>
                <w:sz w:val="20"/>
              </w:rPr>
              <w:t>We record here that the experts we asked answered in a direction that cuts against this statistic. Of the 39 respondents in §5.7, 18 answered that they "almost never" encounter someone unable to read a written medication instruction, and 4 that they encounter such a person almost daily. Half the respondents work in Korea, so this answer reflects the within-country distribution seen in §1.2 rather than contradicting the world figures of §1.1. Professor Hwi-Yeol Yun of Chungnam National University College of Pharmacy set down the circumstance directly.</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In a country with high literacy the problem does not disappear; it appears with a different face. Instead of people who cannot read there are people handed a paper that is not in their language, and the pharmacist fills the gap in a third language.</w:t>
            </w:r>
          </w:p>
          <w:p>
            <w:pPr>
              <w:spacing w:after="80" w:line="276" w:lineRule="auto"/>
              <w:jc w:val="both"/>
            </w:pPr>
            <w:r>
              <w:rPr>
                <w:rFonts w:ascii="Times New Roman" w:hAnsi="Times New Roman" w:eastAsia="바탕"/>
                <w:sz w:val="20"/>
              </w:rPr>
              <w:t>What this distribution indicates is not that the target should be narrowed but where the need is greatest. SnapCare does not require reading, so people who can read are free to use it as well, and missing a prescription instruction in fact happens independently of literacy (§1.3). If one asks where the same app makes the largest difference, though, it is where gaps like these exist, and that is why field evaluation is part of the plan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w:t>
            </w:r>
            <w:r>
              <w:rPr>
                <w:rFonts w:ascii="Times New Roman" w:hAnsi="Times New Roman" w:eastAsia="바탕"/>
                <w:color w:val="606068"/>
                <w:sz w:val="18"/>
              </w:rPr>
              <w:t xml:space="preserve"> The fifteen countries with the lowest adult literacy rates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The distance from the world average of 88% is the point of this figure. In these countries the people who cannot read a prescription are the majority.</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w:t>
            </w:r>
            <w:r>
              <w:rPr>
                <w:rFonts w:ascii="Times New Roman" w:hAnsi="Times New Roman" w:eastAsia="바탕"/>
                <w:color w:val="606068"/>
                <w:sz w:val="18"/>
              </w:rPr>
              <w:t xml:space="preserve"> Literacy rate and number of non-literate adults in sub-Saharan Africa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Bars are absolute numbers, the line is the rate. The two axes moving in opposite directions is the point of this section. The rate rose 4 percentage points while the head count grew by 29 million. By the rate this is improvement, by the head count it is deterioration. This is the evidence that the problem is not one that time will resolve.</w:t>
            </w:r>
          </w:p>
          <w:p>
            <w:pPr>
              <w:spacing w:before="180" w:after="40"/>
            </w:pPr>
            <w:r>
              <w:rPr>
                <w:rFonts w:ascii="Times New Roman" w:hAnsi="Times New Roman" w:eastAsia="바탕"/>
                <w:b/>
                <w:sz w:val="23"/>
              </w:rPr>
              <w:t>1.2 The distribution of health literacy</w:t>
            </w:r>
          </w:p>
          <w:p>
            <w:pPr>
              <w:spacing w:after="80" w:line="276" w:lineRule="auto"/>
              <w:jc w:val="both"/>
            </w:pPr>
            <w:r>
              <w:rPr>
                <w:rFonts w:ascii="Times New Roman" w:hAnsi="Times New Roman" w:eastAsia="바탕"/>
                <w:sz w:val="20"/>
              </w:rPr>
              <w:t xml:space="preserve">Being able to read letters and being able to understand health information are different things. The HLS19 survey, which interviewed 42,445 people across 17 European countries, measured general health literacy on four levels (excellent, sufficient, problematic, inadequate) and reported that a substantial share of low health literacy remained in every participating country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That report states explicitly, however, that collection period and method differed by country and that cross-country comparison should be made with caution, and it does not put forward a single pooled figure for the 17 countries. Korean data are therefore used here in place of a pooled percentage.</w:t>
            </w:r>
          </w:p>
          <w:p>
            <w:pPr>
              <w:spacing w:after="80" w:line="276" w:lineRule="auto"/>
              <w:jc w:val="both"/>
            </w:pPr>
            <w:r>
              <w:rPr>
                <w:rFonts w:ascii="Times New Roman" w:hAnsi="Times New Roman" w:eastAsia="바탕"/>
                <w:sz w:val="20"/>
              </w:rPr>
              <w:t>[Table 3] Health literacy among Korean adults (Korea National Health and Nutrition Examination Survey,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Group</w:t>
                  </w:r>
                </w:p>
              </w:tc>
              <w:tc>
                <w:tcPr>
                  <w:tcW w:type="dxa" w:w="2441"/>
                  <w:shd w:val="clear" w:fill="F2F2F2"/>
                </w:tcPr>
                <w:p>
                  <w:r>
                    <w:rPr>
                      <w:rFonts w:ascii="Times New Roman" w:hAnsi="Times New Roman" w:eastAsia="바탕"/>
                      <w:b/>
                      <w:sz w:val="18"/>
                    </w:rPr>
                    <w:t>Sufficient level</w:t>
                  </w:r>
                </w:p>
              </w:tc>
              <w:tc>
                <w:tcPr>
                  <w:tcW w:type="dxa" w:w="2441"/>
                  <w:shd w:val="clear" w:fill="F2F2F2"/>
                </w:tcPr>
                <w:p>
                  <w:r>
                    <w:rPr>
                      <w:rFonts w:ascii="Times New Roman" w:hAnsi="Times New Roman" w:eastAsia="바탕"/>
                      <w:b/>
                      <w:sz w:val="18"/>
                    </w:rPr>
                    <w:t>Complement</w:t>
                  </w:r>
                </w:p>
              </w:tc>
              <w:tc>
                <w:tcPr>
                  <w:tcW w:type="dxa" w:w="2441"/>
                  <w:shd w:val="clear" w:fill="F2F2F2"/>
                </w:tcPr>
                <w:p>
                  <w:r>
                    <w:rPr>
                      <w:rFonts w:ascii="Times New Roman" w:hAnsi="Times New Roman" w:eastAsia="바탕"/>
                      <w:b/>
                      <w:sz w:val="18"/>
                    </w:rPr>
                    <w:t>Source</w:t>
                  </w:r>
                </w:p>
              </w:tc>
            </w:tr>
            <w:tr>
              <w:tc>
                <w:tcPr>
                  <w:tcW w:type="dxa" w:w="2441"/>
                </w:tcPr>
                <w:p>
                  <w:r>
                    <w:rPr>
                      <w:rFonts w:ascii="Times New Roman" w:hAnsi="Times New Roman" w:eastAsia="바탕"/>
                      <w:sz w:val="18"/>
                    </w:rPr>
                    <w:t>Korea, aged 65+</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all adults</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lower income</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upper income</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KNHANES (2023)</w:t>
                  </w:r>
                </w:p>
              </w:tc>
            </w:tr>
          </w:tbl>
          <w:p/>
          <w:p>
            <w:pPr>
              <w:spacing w:after="120"/>
            </w:pPr>
          </w:p>
          <w:p>
            <w:pPr>
              <w:spacing w:after="80" w:line="276" w:lineRule="auto"/>
              <w:jc w:val="both"/>
            </w:pPr>
            <w:r>
              <w:rPr>
                <w:rFonts w:ascii="Times New Roman" w:hAnsi="Times New Roman" w:eastAsia="바탕"/>
                <w:sz w:val="20"/>
              </w:rPr>
              <w:t xml:space="preserve">An "adequate level" of health literacy means a score of 30 or above out of 40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What Table 3 shows is that this problem divides more sharply within a country than between countries. Among Korean adults overall, 60.4% have sufficient health literacy, but among those aged 65 and over the figure falls to 40.3%. Taking the complements, that is 59.7% against 39.6%, a gap of 20.1 percentage points. Splitting by income gives the same direction, 54.4% in the lower group against 33.7% in the upper. This is therefore not a problem belonging to "countries where people cannot read" but one that appears in any country. That is why SnapCare is not an app for one particular region. There are people who miss prescription instructions in a country with 88% literacy, and there are simply more of them in a country at 40%. The team is Korean and Moldovan not because those are the two target populations but because the same app can be tested in two different environments.</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w:t>
            </w:r>
            <w:r>
              <w:rPr>
                <w:rFonts w:ascii="Times New Roman" w:hAnsi="Times New Roman" w:eastAsia="바탕"/>
                <w:color w:val="606068"/>
                <w:sz w:val="18"/>
              </w:rPr>
              <w:t xml:space="preserve"> Share of Korean adults without sufficient health literacy (Korea Disease Control and Prevention Agency, </w:t>
            </w:r>
            <w:r>
              <w:rPr>
                <w:rFonts w:ascii="Times New Roman" w:hAnsi="Times New Roman" w:eastAsia="바탕"/>
                <w:i/>
                <w:color w:val="606068"/>
                <w:sz w:val="18"/>
              </w:rPr>
              <w:t>Korea National Health and Nutrition Examination Survey, 9th cycle, year 2</w:t>
            </w:r>
            <w:r>
              <w:rPr>
                <w:rFonts w:ascii="Times New Roman" w:hAnsi="Times New Roman" w:eastAsia="바탕"/>
                <w:color w:val="606068"/>
                <w:sz w:val="18"/>
              </w:rPr>
              <w:t>, 2023). Against 39.6% overall, the figure for those aged 65 and over is 59.7%, higher by 20.1 percentage points. Splitting by income gives a difference of 11.9 percentage points. That this problem divides more sharply within a country than between countries is the point of this figure.</w:t>
            </w:r>
          </w:p>
          <w:p>
            <w:pPr>
              <w:spacing w:after="80" w:line="276" w:lineRule="auto"/>
              <w:jc w:val="both"/>
            </w:pPr>
            <w:r>
              <w:rPr>
                <w:rFonts w:ascii="Times New Roman" w:hAnsi="Times New Roman" w:eastAsia="바탕"/>
                <w:sz w:val="20"/>
              </w:rPr>
              <w:t xml:space="preserve">Measuring literacy directly rather than by self-report makes the picture worse. In the Programme for the International Assessment of Adult Competencies (PIAAC), covering 31 developed countries, </w:t>
            </w:r>
            <w:r>
              <w:rPr>
                <w:rFonts w:ascii="Times New Roman" w:hAnsi="Times New Roman" w:eastAsia="바탕"/>
                <w:b/>
                <w:sz w:val="20"/>
              </w:rPr>
              <w:t>18% of adults did not reach the most elementary level in literacy, numeracy and adaptive problem solving</w:t>
            </w:r>
            <w:r>
              <w:rPr>
                <w:rFonts w:ascii="Times New Roman" w:hAnsi="Times New Roman" w:eastAsia="바탕"/>
                <w:sz w:val="20"/>
              </w:rPr>
              <w:t xml:space="preserve">, and adult literacy in these countries has stagnated or declined since 2012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cited in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The distance between the self-report "I can read" and the ability "I can follow the instruction on a medicine packet" appears here.</w:t>
            </w:r>
          </w:p>
          <w:p>
            <w:pPr>
              <w:spacing w:after="80" w:line="276" w:lineRule="auto"/>
              <w:jc w:val="both"/>
            </w:pPr>
            <w:r>
              <w:rPr>
                <w:rFonts w:ascii="Times New Roman" w:hAnsi="Times New Roman" w:eastAsia="바탕"/>
                <w:sz w:val="20"/>
              </w:rPr>
              <w:t xml:space="preserve">Nor is this particular to Korea. The OECD, pooling data from 18 countries, wrote that at least one third show low health literacy, and the same report, citing United States research, put the additional cost arising from low health literacy at 3 to 5% of total annual health expenditure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That the figure is one third matters because it speaks to a different layer than the non-literacy rate in §1.1. These 18 countries are places where being unable to read letters is rare, and even so one in three has difficulty handling health information.</w:t>
            </w:r>
          </w:p>
          <w:p>
            <w:pPr>
              <w:spacing w:after="80" w:line="276" w:lineRule="auto"/>
              <w:jc w:val="both"/>
            </w:pPr>
            <w:r>
              <w:rPr>
                <w:rFonts w:ascii="Times New Roman" w:hAnsi="Times New Roman" w:eastAsia="바탕"/>
                <w:sz w:val="20"/>
              </w:rPr>
              <w:t xml:space="preserve">This gap carries through to clinical outcomes. A systematic review synthesising 96 studies reported that low health literacy is consistently associated with increased hospitalisation, greater use of emergency care, lower uptake of mammography and influenza vaccination, poorer ability to demonstrate taking medications appropriately, and poorer ability to interpret labels and health messages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For mortality, the association was confirmed among older adults.</w:t>
            </w:r>
          </w:p>
          <w:p>
            <w:pPr>
              <w:spacing w:after="80" w:line="276" w:lineRule="auto"/>
              <w:jc w:val="both"/>
            </w:pPr>
            <w:r>
              <w:rPr>
                <w:rFonts w:ascii="Times New Roman" w:hAnsi="Times New Roman" w:eastAsia="바탕"/>
                <w:sz w:val="20"/>
              </w:rPr>
              <w:t>Observation in the field points at the same place as this literature. Of the nine respondents in the nursing and public health segment of §5.7, eight answered that people who cannot read are not receiving medication information properly (3 "yes", 5 "partly"). And two respondents widened the scope beyond literacy.</w:t>
            </w:r>
          </w:p>
          <w:p>
            <w:pPr>
              <w:spacing w:after="40" w:line="276" w:lineRule="auto"/>
              <w:ind w:left="403"/>
            </w:pPr>
            <w:r>
              <w:rPr>
                <w:rFonts w:ascii="Times New Roman" w:hAnsi="Times New Roman" w:eastAsia="바탕"/>
                <w:i/>
                <w:color w:val="606068"/>
                <w:sz w:val="19"/>
              </w:rPr>
              <w:t>"I have not had many such occasions, but there are also many people who, even knowing how to read, are not receiving proper medication guidance."</w:t>
            </w:r>
          </w:p>
          <w:p>
            <w:pPr>
              <w:spacing w:after="180" w:line="276" w:lineRule="auto"/>
              <w:ind w:left="403"/>
            </w:pPr>
            <w:r>
              <w:rPr>
                <w:rFonts w:ascii="Times New Roman" w:hAnsi="Times New Roman" w:eastAsia="바탕"/>
                <w:i w:val="0"/>
                <w:color w:val="606068"/>
                <w:sz w:val="19"/>
              </w:rPr>
              <w:t>(Professor Namsoo Park, Hyupsung University)</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second is a broader claim than the premise this document sets out. We wrote that people who cannot read miss the information; this response says that people who can read miss it too. If that is right, the population this app addresses is wider than we defined, and at the same time it is not a problem this app alone resolves.</w:t>
            </w:r>
          </w:p>
          <w:p>
            <w:pPr>
              <w:spacing w:after="80" w:line="276" w:lineRule="auto"/>
              <w:jc w:val="both"/>
            </w:pPr>
            <w:r>
              <w:rPr>
                <w:rFonts w:ascii="Times New Roman" w:hAnsi="Times New Roman" w:eastAsia="바탕"/>
                <w:sz w:val="20"/>
              </w:rPr>
              <w:t>The two items in that list that overlap directly with our problem are the last two, the ability to demonstrate taking medications appropriately and the ability to interpret labels and health messages. If the earlier items are problems of access to care, these two are problems at the point where information is transferred, and they occur outside the consulting room. The policy blind spot taken up in §1.4 is exactly here.</w:t>
            </w:r>
          </w:p>
          <w:p>
            <w:pPr>
              <w:spacing w:before="180" w:after="40"/>
            </w:pPr>
            <w:r>
              <w:rPr>
                <w:rFonts w:ascii="Times New Roman" w:hAnsi="Times New Roman" w:eastAsia="바탕"/>
                <w:b/>
                <w:sz w:val="23"/>
              </w:rPr>
              <w:t>1.3 The types of medication error and what they cost</w:t>
            </w:r>
          </w:p>
          <w:p>
            <w:pPr>
              <w:spacing w:after="80" w:line="276" w:lineRule="auto"/>
              <w:jc w:val="both"/>
            </w:pPr>
            <w:r>
              <w:rPr>
                <w:rFonts w:ascii="Times New Roman" w:hAnsi="Times New Roman" w:eastAsia="바탕"/>
                <w:sz w:val="20"/>
              </w:rPr>
              <w:t xml:space="preserve">Looking at which types medication errors cluster into narrows down what has to be fixed. In a study that observed the dispensing stage by direct observation, of 155 dispensing errors found by pharmacists 51 (32.9%) were omissions, 44 (28.4%) were dose errors and 36 (23.2%) were timing errors. These three alone account for 84.5% of the total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Distribution of medication errors by type and the corresponding SnapCare pictogram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Error type</w:t>
                  </w:r>
                </w:p>
              </w:tc>
              <w:tc>
                <w:tcPr>
                  <w:tcW w:type="dxa" w:w="2441"/>
                  <w:shd w:val="clear" w:fill="F2F2F2"/>
                </w:tcPr>
                <w:p>
                  <w:r>
                    <w:rPr>
                      <w:rFonts w:ascii="Times New Roman" w:hAnsi="Times New Roman" w:eastAsia="바탕"/>
                      <w:b/>
                      <w:sz w:val="18"/>
                    </w:rPr>
                    <w:t>Count</w:t>
                  </w:r>
                </w:p>
              </w:tc>
              <w:tc>
                <w:tcPr>
                  <w:tcW w:type="dxa" w:w="2441"/>
                  <w:shd w:val="clear" w:fill="F2F2F2"/>
                </w:tcPr>
                <w:p>
                  <w:r>
                    <w:rPr>
                      <w:rFonts w:ascii="Times New Roman" w:hAnsi="Times New Roman" w:eastAsia="바탕"/>
                      <w:b/>
                      <w:sz w:val="18"/>
                    </w:rPr>
                    <w:t>Share</w:t>
                  </w:r>
                </w:p>
              </w:tc>
              <w:tc>
                <w:tcPr>
                  <w:tcW w:type="dxa" w:w="2441"/>
                  <w:shd w:val="clear" w:fill="F2F2F2"/>
                </w:tcPr>
                <w:p>
                  <w:r>
                    <w:rPr>
                      <w:rFonts w:ascii="Times New Roman" w:hAnsi="Times New Roman" w:eastAsia="바탕"/>
                      <w:b/>
                      <w:sz w:val="18"/>
                    </w:rPr>
                    <w:t>Morpheme carrying that instruction</w:t>
                  </w:r>
                </w:p>
              </w:tc>
            </w:tr>
            <w:tr>
              <w:tc>
                <w:tcPr>
                  <w:tcW w:type="dxa" w:w="2441"/>
                </w:tcPr>
                <w:p>
                  <w:r>
                    <w:rPr>
                      <w:rFonts w:ascii="Times New Roman" w:hAnsi="Times New Roman" w:eastAsia="바탕"/>
                      <w:sz w:val="18"/>
                    </w:rPr>
                    <w:t>Omission</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Dose error</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Timing error</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Other</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Based on 155 dispensing errors found by pharmacists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We checked whether the same distribution appears in another country and another period. A meta-analysis pooling 36 studies (6,238 participants) of medication errors by Iranian nurses put the top two error types at wrong timing, 27.3% (95% CI 19–36), and wrong dose, 26.4% (95% CI 20–33)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The top two are the same as those observed in one Brazilian hospital in 2007.</w:t>
            </w:r>
          </w:p>
          <w:p>
            <w:pPr>
              <w:spacing w:after="80" w:line="276" w:lineRule="auto"/>
              <w:jc w:val="both"/>
            </w:pPr>
            <w:r>
              <w:rPr>
                <w:rFonts w:ascii="Times New Roman" w:hAnsi="Times New Roman" w:eastAsia="바탕"/>
                <w:sz w:val="20"/>
              </w:rPr>
              <w:t>Two cautions belong beside that pairing. First, the stages differ: the earlier figures are errors pharmacists made while dispensing, the later ones errors nurses made while administering. Neither is an error a patient makes at home, and §1.4 takes up that gap separately. Second, heterogeneity in the Iranian data is very high (I² = 91–96). The values should not be carried across; only the recurrence of the ordering should be read from them.</w:t>
            </w:r>
          </w:p>
          <w:p>
            <w:pPr>
              <w:spacing w:after="80" w:line="276" w:lineRule="auto"/>
              <w:jc w:val="both"/>
            </w:pPr>
            <w:r>
              <w:rPr>
                <w:rFonts w:ascii="Times New Roman" w:hAnsi="Times New Roman" w:eastAsia="바탕"/>
                <w:sz w:val="20"/>
              </w:rPr>
              <w:t>There is a reason this section needs that recurrence even so. We designed the morpheme set to match this distribution (Table 8), and if the distribution had been an accident of one hospital in one year, the grounds for that design would fall away. That the top two are the same across seventeen years and two continents reduces the accident.</w:t>
            </w:r>
          </w:p>
          <w:p>
            <w:pPr>
              <w:spacing w:after="80" w:line="276" w:lineRule="auto"/>
              <w:jc w:val="both"/>
            </w:pPr>
            <w:r>
              <w:rPr>
                <w:rFonts w:ascii="Times New Roman" w:hAnsi="Times New Roman" w:eastAsia="바탕"/>
                <w:sz w:val="20"/>
              </w:rPr>
              <w:t>Table 4 shows that most errors cluster into three things: what, how much and when. All three are information that can be carried in a picture, and SnapCare's morpheme design follows exactly this distribution.</w:t>
            </w:r>
          </w:p>
          <w:p>
            <w:pPr>
              <w:spacing w:after="80" w:line="276" w:lineRule="auto"/>
              <w:jc w:val="both"/>
            </w:pPr>
            <w:r>
              <w:rPr>
                <w:rFonts w:ascii="Times New Roman" w:hAnsi="Times New Roman" w:eastAsia="바탕"/>
                <w:sz w:val="20"/>
              </w:rPr>
              <w:t>Because that distribution is now close to twenty years old, we asked the same thing again in §5.7. Asked what must not be wrong medically, the twelve pharmacy respondents chose dose and frequency most often at 7, with contraindications and interactions at 3 and route of administration and not stopping early at 1 each. The 28.4% dose errors in the 2007 dispensing record and twelve pharmacists in 2026 naming dose and frequency first point at the same place.</w:t>
            </w:r>
          </w:p>
          <w:p>
            <w:pPr>
              <w:spacing w:after="80" w:line="276" w:lineRule="auto"/>
              <w:jc w:val="both"/>
            </w:pPr>
            <w:r>
              <w:rPr>
                <w:rFonts w:ascii="Times New Roman" w:hAnsi="Times New Roman" w:eastAsia="바탕"/>
                <w:sz w:val="20"/>
              </w:rPr>
              <w:t>One respondent set down the reason as well. The explanation is given in speech, but what the patient can go back to afterwards is only the dose written on the label.</w:t>
            </w:r>
          </w:p>
          <w:p>
            <w:pPr>
              <w:spacing w:after="40" w:line="276" w:lineRule="auto"/>
              <w:ind w:left="403"/>
            </w:pPr>
            <w:r>
              <w:rPr>
                <w:rFonts w:ascii="Times New Roman" w:hAnsi="Times New Roman" w:eastAsia="바탕"/>
                <w:i/>
                <w:color w:val="606068"/>
                <w:sz w:val="19"/>
              </w:rPr>
              <w:t>"The patient is thoroughly explained/ 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A spoken explanation disappears the moment the patient leaves the pharmacy and only the paper remains. If they cannot read that paper, nothing remains.</w:t>
            </w:r>
          </w:p>
          <w:p>
            <w:pPr>
              <w:spacing w:after="80" w:line="276" w:lineRule="auto"/>
              <w:jc w:val="both"/>
            </w:pPr>
            <w:r>
              <w:rPr>
                <w:rFonts w:ascii="Times New Roman" w:hAnsi="Times New Roman" w:eastAsia="바탕"/>
                <w:sz w:val="20"/>
              </w:rPr>
              <w:t>One qualification is needed here. This distribution covers errors made on the dispensing side, not errors patients make at home, and the two stages cannot be treated as the same. The reason for grounding the design in these figures anyway is that if these three go wrong often at the dispensing stage, then these three are the information most easily lost in transfer. If trained pharmacists miss them in a controlled environment, there is no reason to expect a patient handed the same information in text alone to keep hold of it. We did not find data measuring the distribution at the patient stage directly, and this is recorded among the unverified items in §5.9.</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w:t>
            </w:r>
            <w:r>
              <w:rPr>
                <w:rFonts w:ascii="Times New Roman" w:hAnsi="Times New Roman" w:eastAsia="바탕"/>
                <w:color w:val="606068"/>
                <w:sz w:val="18"/>
              </w:rPr>
              <w:t xml:space="preserve"> Distribution by type of 155 dispensing errors found by pharmacists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Omission, dose and timing account for 84.5%. That all three are information which can be carried in a picture is the starting point of the SIGIL morpheme design, and </w:t>
            </w:r>
            <w:r>
              <w:rPr>
                <w:rFonts w:ascii="Consolas" w:hAnsi="Consolas" w:eastAsia="Consolas"/>
                <w:color w:val="606068"/>
                <w:sz w:val="17"/>
              </w:rPr>
              <w:t>finish_course</w:t>
            </w:r>
            <w:r>
              <w:rPr>
                <w:rFonts w:ascii="Times New Roman" w:hAnsi="Times New Roman" w:eastAsia="바탕"/>
                <w:color w:val="606068"/>
                <w:sz w:val="18"/>
              </w:rPr>
              <w:t xml:space="preserve">, </w:t>
            </w:r>
            <w:r>
              <w:rPr>
                <w:rFonts w:ascii="Consolas" w:hAnsi="Consolas" w:eastAsia="Consolas"/>
                <w:color w:val="606068"/>
                <w:sz w:val="17"/>
              </w:rPr>
              <w:t>qty_*</w:t>
            </w:r>
            <w:r>
              <w:rPr>
                <w:rFonts w:ascii="Times New Roman" w:hAnsi="Times New Roman" w:eastAsia="바탕"/>
                <w:color w:val="606068"/>
                <w:sz w:val="18"/>
              </w:rPr>
              <w:t xml:space="preserve"> and </w:t>
            </w:r>
            <w:r>
              <w:rPr>
                <w:rFonts w:ascii="Consolas" w:hAnsi="Consolas" w:eastAsia="Consolas"/>
                <w:color w:val="606068"/>
                <w:sz w:val="17"/>
              </w:rPr>
              <w:t>time_*</w:t>
            </w:r>
            <w:r>
              <w:rPr>
                <w:rFonts w:ascii="Times New Roman" w:hAnsi="Times New Roman" w:eastAsia="바탕"/>
                <w:color w:val="606068"/>
                <w:sz w:val="18"/>
              </w:rPr>
              <w:t xml:space="preserve"> correspond to them respectively.</w:t>
            </w:r>
          </w:p>
          <w:p>
            <w:pPr>
              <w:spacing w:before="120" w:after="20"/>
            </w:pPr>
            <w:r>
              <w:rPr>
                <w:rFonts w:ascii="Times New Roman" w:hAnsi="Times New Roman" w:eastAsia="바탕"/>
                <w:b/>
                <w:sz w:val="21"/>
              </w:rPr>
              <w:t>1.3.1 Misreading measured on the patient side</w:t>
            </w:r>
          </w:p>
          <w:p>
            <w:pPr>
              <w:spacing w:after="80" w:line="276" w:lineRule="auto"/>
              <w:jc w:val="both"/>
            </w:pPr>
            <w:r>
              <w:rPr>
                <w:rFonts w:ascii="Times New Roman" w:hAnsi="Times New Roman" w:eastAsia="바탕"/>
                <w:sz w:val="20"/>
              </w:rPr>
              <w:t>The distribution above is a record from the dispensing side. What happens on the patient side has been measured separately.</w:t>
            </w:r>
          </w:p>
          <w:p>
            <w:pPr>
              <w:spacing w:after="80" w:line="276" w:lineRule="auto"/>
              <w:jc w:val="both"/>
            </w:pPr>
            <w:r>
              <w:rPr>
                <w:rFonts w:ascii="Times New Roman" w:hAnsi="Times New Roman" w:eastAsia="바탕"/>
                <w:sz w:val="20"/>
              </w:rPr>
              <w:t xml:space="preserve">In a study at three primary care clinics in the United States in which 395 adults were shown five actual pill bottle labels and asked whether they understood the instruction, correct understanding ranged from </w:t>
            </w:r>
            <w:r>
              <w:rPr>
                <w:rFonts w:ascii="Times New Roman" w:hAnsi="Times New Roman" w:eastAsia="바탕"/>
                <w:b/>
                <w:sz w:val="20"/>
              </w:rPr>
              <w:t>67.1% to 91.1%</w:t>
            </w:r>
            <w:r>
              <w:rPr>
                <w:rFonts w:ascii="Times New Roman" w:hAnsi="Times New Roman" w:eastAsia="바탕"/>
                <w:sz w:val="20"/>
              </w:rPr>
              <w:t xml:space="preserve"> depending on the label. The sharpest result of that study lies elsewhere. Among low-literacy patients, </w:t>
            </w:r>
            <w:r>
              <w:rPr>
                <w:rFonts w:ascii="Times New Roman" w:hAnsi="Times New Roman" w:eastAsia="바탕"/>
                <w:b/>
                <w:sz w:val="20"/>
              </w:rPr>
              <w:t>70.7% correctly restated the instruction "take two tablets twice daily" in words, but only 34.7% could actually demonstrate how many tablets to take in a day</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Restating an instruction and acting on it are separate abilities, and reading the text aloud does not by itself close that gap. This is why SnapCare sends a picture of the action alongside the speech.</w:t>
            </w:r>
          </w:p>
          <w:p>
            <w:pPr>
              <w:spacing w:after="80" w:line="276" w:lineRule="auto"/>
              <w:jc w:val="both"/>
            </w:pPr>
            <w:r>
              <w:rPr>
                <w:rFonts w:ascii="Times New Roman" w:hAnsi="Times New Roman" w:eastAsia="바탕"/>
                <w:sz w:val="20"/>
              </w:rPr>
              <w:t xml:space="preserve">With liquid medicines the error appears as a visible quantity. In a randomised trial of caregivers giving liquid medicine to young children, </w:t>
            </w:r>
            <w:r>
              <w:rPr>
                <w:rFonts w:ascii="Times New Roman" w:hAnsi="Times New Roman" w:eastAsia="바탕"/>
                <w:b/>
                <w:sz w:val="20"/>
              </w:rPr>
              <w:t>47.8% of the control group, who received standard counselling only, administered a dose more than 20% away from the one prescribed</w:t>
            </w:r>
            <w:r>
              <w:rPr>
                <w:rFonts w:ascii="Times New Roman" w:hAnsi="Times New Roman" w:eastAsia="바탕"/>
                <w:sz w:val="20"/>
              </w:rPr>
              <w:t xml:space="preserve"> (40.0% for as-needed medicines). Twenty percent is not a small number. For a medicine taken three times a day, three days is enough to be off by a full day's dose.</w:t>
            </w:r>
          </w:p>
          <w:p>
            <w:pPr>
              <w:spacing w:after="80" w:line="276" w:lineRule="auto"/>
              <w:jc w:val="both"/>
            </w:pPr>
            <w:r>
              <w:rPr>
                <w:rFonts w:ascii="Times New Roman" w:hAnsi="Times New Roman" w:eastAsia="바탕"/>
                <w:sz w:val="20"/>
              </w:rPr>
              <w:t xml:space="preserve">The worldwide annual cost associated with medication errors is about 42 billion US dollars, roughly 1% of total global health expenditure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There are figures for the United States on its own. Avoidable health care costs arising from medication non-adherence are estimated at 100 to 300 billion dollars a year, which is 3% to 10% of total US health care spending. About 10% of hospitalisations among older adults may be attributed to non-adherence, and the majority of the costs attributed to non-adherence come from hospitalisations that could have been avoided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Three corrections made while carrying these figures over are set down here. We had taken them from a hospital's public-information page and written "100 billion in direct costs and as much as 300 billion including indirect costs", whereas the source does not divide direct from indirect and gives a range of avoidable costs. What we wrote as "at least 10% of hospitalisations" is limited in the source to hospitalisations among older adults. And the "roughly 125,000 deaths a year" we had beside them is not in this paper's abstract, so it is removed: it is a widely quoted number, but we could not confirm it at a primary source.</w:t>
            </w:r>
          </w:p>
          <w:p>
            <w:pPr>
              <w:spacing w:after="80" w:line="276" w:lineRule="auto"/>
              <w:jc w:val="both"/>
            </w:pPr>
            <w:r>
              <w:rPr>
                <w:rFonts w:ascii="Times New Roman" w:hAnsi="Times New Roman" w:eastAsia="바탕"/>
                <w:sz w:val="20"/>
              </w:rPr>
              <w:t xml:space="preserve">The World Health Organization's first global patient safety report, issued in 2024, measured this scale again. One patient in twenty worldwide (5%) experiences preventable medication-related harm, and close to a quarter of that harm is severe or life threatening. By region, Africa and South-East Asia are highest at 9% each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In low- and middle-income countries there are 134 million adverse events in hospitals each year, and about 2.6 million people die as a result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Where the harm occurs is what fixes the place of this work. The World Health Organization reports that more than half of the harm arising in the course of care (one patient in twenty) is preventable, and that half of that preventable harm is medication related. Medication-related harm affects one patient in thirty, and more than a quarter of it is severe or life threatening. This harm is also more common outside hospital than inside it. </w:t>
            </w:r>
            <w:r>
              <w:rPr>
                <w:rFonts w:ascii="Times New Roman" w:hAnsi="Times New Roman" w:eastAsia="바탕"/>
                <w:b/>
                <w:sz w:val="20"/>
              </w:rPr>
              <w:t>In primary and ambulatory care up to four patients in ten experience harm, and up to 80% of that harm (23.6% to 85%) is avoidable</w:t>
            </w:r>
            <w:r>
              <w:rPr>
                <w:rFonts w:ascii="Times New Roman" w:hAnsi="Times New Roman" w:eastAsia="바탕"/>
                <w:sz w:val="20"/>
              </w:rPr>
              <w:t xml:space="preserve">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What these figures point to together is that medication-related harm occurs outside the consulting room and in an avoidable form. That is the part SnapCare sets out to address. In low- and middle-income countries, deaths from unsafe care reach 4 in every 100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The cost estimates span a wide range, and the basis of the 300 billion dollar upper figure is disputed. Our purpose in citing these numbers is to give a sense of scale rather than to argue for any particular value, and the indicator on which this work claims improvement is not cost but the delivery success rate in §5.1.</w:t>
            </w:r>
          </w:p>
          <w:p>
            <w:pPr>
              <w:spacing w:after="80" w:line="276" w:lineRule="auto"/>
              <w:jc w:val="both"/>
            </w:pPr>
            <w:r>
              <w:rPr>
                <w:rFonts w:ascii="Times New Roman" w:hAnsi="Times New Roman" w:eastAsia="바탕"/>
                <w:sz w:val="20"/>
              </w:rPr>
              <w:t>The misreading this section counted from the literature we observed in our own pictures too. Asked how the whole looked from a pharmacy standpoint, Sheron Sir Loon Goh, Pharmacy Lecturer at the Department of Clinical Pharmacy and Pharmacy Practice, pointed at two things:</w:t>
            </w:r>
          </w:p>
          <w:p>
            <w:pPr>
              <w:spacing w:after="40" w:line="276" w:lineRule="auto"/>
              <w:ind w:left="403"/>
            </w:pPr>
            <w:r>
              <w:rPr>
                <w:rFonts w:ascii="Times New Roman" w:hAnsi="Times New Roman" w:eastAsia="바탕"/>
                <w:i/>
                <w:color w:val="606068"/>
                <w:sz w:val="19"/>
              </w:rPr>
              <w:t>"Once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The first is this section's "how much" error and the second its contraindication error. The top types in Table 4 reproduced themselves in our own pictures, which is where the distribution in the literature stopped being someone else's story.</w:t>
            </w:r>
          </w:p>
          <w:p>
            <w:pPr>
              <w:spacing w:after="80" w:line="276" w:lineRule="auto"/>
              <w:jc w:val="both"/>
            </w:pPr>
            <w:r>
              <w:rPr>
                <w:rFonts w:ascii="Times New Roman" w:hAnsi="Times New Roman" w:eastAsia="바탕"/>
                <w:sz w:val="20"/>
              </w:rPr>
              <w:t xml:space="preserve">The second is the heavier one. A pregnancy symbol with no prohibition mark can be read as "safe in pregnancy". That is not meaning going vague but meaning </w:t>
            </w:r>
            <w:r>
              <w:rPr>
                <w:rFonts w:ascii="Times New Roman" w:hAnsi="Times New Roman" w:eastAsia="바탕"/>
                <w:b/>
                <w:sz w:val="20"/>
              </w:rPr>
              <w:t>inverting</w:t>
            </w:r>
            <w:r>
              <w:rPr>
                <w:rFonts w:ascii="Times New Roman" w:hAnsi="Times New Roman" w:eastAsia="바탕"/>
                <w:sz w:val="20"/>
              </w:rPr>
              <w:t>, and it is why ANSI Z535.3 requires critical-confusion errors below 5%. Dividing the prohibition marking into three by the nature of the flag in §5.2 was the result of taking this point.</w:t>
            </w:r>
          </w:p>
          <w:p>
            <w:pPr>
              <w:spacing w:before="180" w:after="40"/>
            </w:pPr>
            <w:r>
              <w:rPr>
                <w:rFonts w:ascii="Times New Roman" w:hAnsi="Times New Roman" w:eastAsia="바탕"/>
                <w:b/>
                <w:sz w:val="23"/>
              </w:rPr>
              <w:t>1.4 International policy and its blind spot</w:t>
            </w:r>
          </w:p>
          <w:p>
            <w:pPr>
              <w:spacing w:after="80" w:line="276" w:lineRule="auto"/>
              <w:jc w:val="both"/>
            </w:pPr>
            <w:r>
              <w:rPr>
                <w:rFonts w:ascii="Times New Roman" w:hAnsi="Times New Roman" w:eastAsia="바탕"/>
                <w:sz w:val="20"/>
              </w:rPr>
              <w:t xml:space="preserve">In 2017 the World Health Organization declared Medication Without Harm as its third Global Patient Safety Challenge, setting a goal of reducing severe avoidable medication-related harm by 50% within five years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It identified three priority areas: high-risk situations, polypharmacy and transitions of care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Seven years after that declaration, however, as of 2024 only </w:t>
            </w:r>
            <w:r>
              <w:rPr>
                <w:rFonts w:ascii="Times New Roman" w:hAnsi="Times New Roman" w:eastAsia="바탕"/>
                <w:b/>
                <w:sz w:val="20"/>
              </w:rPr>
              <w:t>18% of WHO member states</w:t>
            </w:r>
            <w:r>
              <w:rPr>
                <w:rFonts w:ascii="Times New Roman" w:hAnsi="Times New Roman" w:eastAsia="바탕"/>
                <w:sz w:val="20"/>
              </w:rPr>
              <w:t xml:space="preserve"> have established national targets for reducing medication-related harm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The global patient safety report of the same year records that 74% of member states have endorsed the challenge and are implementing it (WHO, </w:t>
            </w:r>
            <w:r>
              <w:rPr>
                <w:rFonts w:ascii="Times New Roman" w:hAnsi="Times New Roman" w:eastAsia="바탕"/>
                <w:i/>
                <w:sz w:val="20"/>
              </w:rPr>
              <w:t>Global patient safety report 2024</w:t>
            </w:r>
            <w:r>
              <w:rPr>
                <w:rFonts w:ascii="Times New Roman" w:hAnsi="Times New Roman" w:eastAsia="바탕"/>
                <w:sz w:val="20"/>
              </w:rPr>
              <w:t>). The two figures do not contradict each other. The first counts countries that have set a reduction target as a number; the second counts countries that have accepted the challenge. In the same report, 24% have a national expert body for the challenge. That the count falls as one moves from endorsement to target and from target to a standing body shows how far down this policy has actually travelled.</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5]</w:t>
            </w:r>
            <w:r>
              <w:rPr>
                <w:rFonts w:ascii="Times New Roman" w:hAnsi="Times New Roman" w:eastAsia="바탕"/>
                <w:color w:val="606068"/>
                <w:sz w:val="18"/>
              </w:rPr>
              <w:t xml:space="preserve"> How far Medication Without Harm has reached inside national systems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Seventy-four percent of member states have accepted the challenge; 18% have set a numerical reduction target. What to read here is the distance between declaration and implementation. The blind spot §1.4 describes exists not because there is no policy but because the policy has not come down this far.</w:t>
            </w:r>
          </w:p>
          <w:p>
            <w:pPr>
              <w:spacing w:after="80" w:line="276" w:lineRule="auto"/>
              <w:jc w:val="both"/>
            </w:pPr>
            <w:r>
              <w:rPr>
                <w:rFonts w:ascii="Times New Roman" w:hAnsi="Times New Roman" w:eastAsia="바탕"/>
                <w:sz w:val="20"/>
              </w:rPr>
              <w:t xml:space="preserve">A gap remains even after the instruction has been delivered. Adherence among patients with chronic disease averages 50% in developed countries and is lower in developing ones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That figure was measured over populations including people who can read and who have been diagnosed, which also means this is not a problem that literacy alone accounts for.</w:t>
            </w:r>
          </w:p>
          <w:p>
            <w:pPr>
              <w:spacing w:after="80" w:line="276" w:lineRule="auto"/>
              <w:jc w:val="both"/>
            </w:pPr>
            <w:r>
              <w:rPr>
                <w:rFonts w:ascii="Times New Roman" w:hAnsi="Times New Roman" w:eastAsia="바탕"/>
                <w:sz w:val="20"/>
              </w:rPr>
              <w:t xml:space="preserve">The relationship between literacy and adherence itself is not on our side either. A meta-analysis pooling studies that measured the direct relationship between health literacy and medication adherence found the association statistically significant but </w:t>
            </w:r>
            <w:r>
              <w:rPr>
                <w:rFonts w:ascii="Times New Roman" w:hAnsi="Times New Roman" w:eastAsia="바탕"/>
                <w:b/>
                <w:sz w:val="20"/>
              </w:rPr>
              <w:t>weak</w:t>
            </w:r>
            <w:r>
              <w:rPr>
                <w:rFonts w:ascii="Times New Roman" w:hAnsi="Times New Roman" w:eastAsia="바탕"/>
                <w:sz w:val="20"/>
              </w:rPr>
              <w:t xml:space="preserve">, with weighted correlation coefficients between 0.056 and 0.072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The authors suggest health literacy may mediate other determinants of adherence rather than setting adherence directly.</w:t>
            </w:r>
          </w:p>
          <w:p>
            <w:pPr>
              <w:spacing w:after="80" w:line="276" w:lineRule="auto"/>
              <w:jc w:val="both"/>
            </w:pPr>
            <w:r>
              <w:rPr>
                <w:rFonts w:ascii="Times New Roman" w:hAnsi="Times New Roman" w:eastAsia="바탕"/>
                <w:sz w:val="20"/>
              </w:rPr>
              <w:t xml:space="preserve">There is more direct evidence too. A multisite randomised controlled trial gave 315 adults with low health literacy the same chronic-disease self-management app, differing only in the reading difficulty of its text: third-grade level with audio narration, sixth-grade level, and eighth-grade level as the control. All three groups gained in activation, self-efficacy and health-related quality of life, but </w:t>
            </w:r>
            <w:r>
              <w:rPr>
                <w:rFonts w:ascii="Times New Roman" w:hAnsi="Times New Roman" w:eastAsia="바탕"/>
                <w:b/>
                <w:sz w:val="20"/>
              </w:rPr>
              <w:t>there were no between-group differences and medication adherence did not change in any group</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That result stings because the design is close to ours. It targeted low health literacy, it simplified the text, and it added audio. Doing all three moved nothing. What that trial varied, however, is the difficulty of the text rather than the medium. Eighth-grade text and third-grade text are both text, and to someone who cannot read they are the same thing. We change the medium rather than the difficulty, so we do not take the result as applying directly, but we have no grounds for saying it does not apply either.</w:t>
            </w:r>
          </w:p>
          <w:p>
            <w:pPr>
              <w:spacing w:after="80" w:line="276" w:lineRule="auto"/>
              <w:jc w:val="both"/>
            </w:pPr>
            <w:r>
              <w:rPr>
                <w:rFonts w:ascii="Times New Roman" w:hAnsi="Times New Roman" w:eastAsia="바탕"/>
                <w:sz w:val="20"/>
              </w:rPr>
              <w:t>Read plainly, that means solving literacy raises adherence only a little. We do not claim to improve adherence (§5.9), so this does not undo the argument of this work, but the figure shows the distance between making something readable and making someone take it. What §5.1 measures is the first of those. The second we did not measure.</w:t>
            </w:r>
          </w:p>
          <w:p>
            <w:pPr>
              <w:spacing w:after="80" w:line="276" w:lineRule="auto"/>
              <w:jc w:val="both"/>
            </w:pPr>
            <w:r>
              <w:rPr>
                <w:rFonts w:ascii="Times New Roman" w:hAnsi="Times New Roman" w:eastAsia="바탕"/>
                <w:sz w:val="20"/>
              </w:rPr>
              <w:t xml:space="preserve">There is evidence for low- and middle-income countries taken on their own. Pooling 22 studies and 92,443 subjects, non-adherence to antihypertensive medication ranged from 25.45% (95% CI 17.23–33.76) to 63.35% (38.78–87.91) depending on the measurement instrument, and most of the studies located the cause in what the World Health Organization classifies as socioeconomic factors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That measuring the same phenomenon yields 25% with one instrument and 63% with another says something about the nature of this indicator. Any claim that this app improved adherence would have to state which instrument produced the number, and that is why the evaluation design in §5.10 fixes the instrument in advance.</w:t>
            </w:r>
          </w:p>
          <w:p>
            <w:pPr>
              <w:spacing w:after="80" w:line="276" w:lineRule="auto"/>
              <w:jc w:val="both"/>
            </w:pPr>
            <w:r>
              <w:rPr>
                <w:rFonts w:ascii="Times New Roman" w:hAnsi="Times New Roman" w:eastAsia="바탕"/>
                <w:sz w:val="20"/>
              </w:rPr>
              <w:t>This work does not claim to address that whole half. Many factors depress adherence, and several of them, such as the price of medicines and side effects, are beyond anything an app can touch. Among those factors, though, "could not read the instruction" is the kind an app can touch, and for someone who cannot read it is the first factor in the sequence. It has to be resolved before the remaining factors can even be weighed.</w:t>
            </w:r>
          </w:p>
          <w:p>
            <w:pPr>
              <w:spacing w:after="80" w:line="276" w:lineRule="auto"/>
              <w:jc w:val="both"/>
            </w:pPr>
            <w:r>
              <w:rPr>
                <w:rFonts w:ascii="Times New Roman" w:hAnsi="Times New Roman" w:eastAsia="바탕"/>
                <w:sz w:val="20"/>
              </w:rPr>
              <w:t>What happens inside the consulting room and the pharmacy we asked about directly in §5.7. The answers to what they do now when they meet a patient who cannot read show what this section is arguing.</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(Professor Samirah Abdu-Aguye,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Teach-back, telling the carer as well, finding pictures on the internet. None of the three was instructed by any system; each was invented by the person standing there. Professor Eun-Kyoung Kim of Kongju National University recorded the same scene from the patient's side.</w:t>
            </w:r>
          </w:p>
          <w:p>
            <w:pPr>
              <w:spacing w:after="40" w:line="276" w:lineRule="auto"/>
              <w:ind w:left="403"/>
            </w:pPr>
            <w:r>
              <w:rPr>
                <w:rFonts w:ascii="Times New Roman" w:hAnsi="Times New Roman" w:eastAsia="바탕"/>
                <w:i/>
                <w:color w:val="606068"/>
                <w:sz w:val="19"/>
              </w:rPr>
              <w:t>"The person concerned relies on the explanation of the pharmacist or of the family member who collected the medicine."</w:t>
            </w:r>
          </w:p>
          <w:p>
            <w:pPr>
              <w:spacing w:after="180" w:line="276" w:lineRule="auto"/>
              <w:ind w:left="403"/>
            </w:pPr>
            <w:r>
              <w:rPr>
                <w:rFonts w:ascii="Times New Roman" w:hAnsi="Times New Roman" w:eastAsia="바탕"/>
                <w:i w:val="0"/>
                <w:color w:val="606068"/>
                <w:sz w:val="19"/>
              </w:rPr>
              <w:t>(Professor Eun-Kyoung Kim, Kongju National University)</w:t>
            </w:r>
          </w:p>
          <w:p>
            <w:pPr>
              <w:spacing w:after="80" w:line="276" w:lineRule="auto"/>
              <w:jc w:val="both"/>
            </w:pPr>
            <w:r>
              <w:rPr>
                <w:rFonts w:ascii="Times New Roman" w:hAnsi="Times New Roman" w:eastAsia="바탕"/>
                <w:sz w:val="20"/>
              </w:rPr>
              <w:t>Why that place is the last one, Professor Katarina Vučićević of the University of Belgrade in Serbia set down in a single sentence.</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(Professor Katarina Vučićević, University of Belgrade, Faculty of Pharmacy)</w:t>
            </w:r>
          </w:p>
          <w:p>
            <w:pPr>
              <w:spacing w:after="80" w:line="276" w:lineRule="auto"/>
              <w:jc w:val="both"/>
            </w:pPr>
            <w:r>
              <w:rPr>
                <w:rFonts w:ascii="Times New Roman" w:hAnsi="Times New Roman" w:eastAsia="바탕"/>
                <w:sz w:val="20"/>
              </w:rPr>
              <w:t>The pharmacist is the last clinician the patient meets before the medicine is in their hands. After that there is no one. What §1.4 calls "the last step" is what lies after that sentence.</w:t>
            </w:r>
          </w:p>
          <w:p>
            <w:pPr>
              <w:spacing w:after="80" w:line="276" w:lineRule="auto"/>
              <w:jc w:val="both"/>
            </w:pPr>
            <w:r>
              <w:rPr>
                <w:rFonts w:ascii="Times New Roman" w:hAnsi="Times New Roman" w:eastAsia="바탕"/>
                <w:sz w:val="20"/>
              </w:rPr>
              <w:t>This is what the blind spot of this section actually looks like. As far as the system reaches, people are filling it in, and what is empty begins where those people are not. The picture a pharmacist drew exists only inside the pharmacy; by the time the patient is home it is gone.</w:t>
            </w:r>
          </w:p>
          <w:p>
            <w:pPr>
              <w:spacing w:after="80" w:line="276" w:lineRule="auto"/>
              <w:jc w:val="both"/>
            </w:pPr>
            <w:r>
              <w:rPr>
                <w:rFonts w:ascii="Times New Roman" w:hAnsi="Times New Roman" w:eastAsia="바탕"/>
                <w:sz w:val="20"/>
              </w:rPr>
              <w:t>This gap does not exist because the problem has gone unrecognised. National policy and health systems reach as far as the clinic and the pharmacy, and the moment a patient opens the medicine packet at home lies outside that reach. The point at which SnapCare intervenes is exactly that last step.</w:t>
            </w:r>
          </w:p>
          <w:p>
            <w:pPr>
              <w:spacing w:after="80" w:line="276" w:lineRule="auto"/>
              <w:jc w:val="both"/>
            </w:pPr>
            <w:r>
              <w:rPr>
                <w:rFonts w:ascii="Times New Roman" w:hAnsi="Times New Roman" w:eastAsia="바탕"/>
                <w:sz w:val="20"/>
              </w:rPr>
              <w:t xml:space="preserve">The size of that last step has been measured. In a study following ambulatory patients aged 65 and over for 30,397 person-years, 1,523 adverse drug events occurred, of which 27.6% were preventable. Looking at which stage the 421 preventable errors arose in, prescribing accounts for 58.4% and monitoring for 60.8%, alongside </w:t>
            </w:r>
            <w:r>
              <w:rPr>
                <w:rFonts w:ascii="Times New Roman" w:hAnsi="Times New Roman" w:eastAsia="바탕"/>
                <w:b/>
                <w:sz w:val="20"/>
              </w:rPr>
              <w:t>21.1% at the patient adherence stage</w:t>
            </w:r>
            <w:r>
              <w:rPr>
                <w:rFonts w:ascii="Times New Roman" w:hAnsi="Times New Roman" w:eastAsia="바탕"/>
                <w:sz w:val="20"/>
              </w:rPr>
              <w:t xml:space="preserve">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Here we set down, alongside it, evidence that cuts against our own argument. According to the same WHO 2024 report, about half of preventable medication harm (53%) arises at the prescribing stage and about a third (36%) at the monitoring stage. And in low- and middle-income countries the prescribing share approaches 80%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6]</w:t>
            </w:r>
            <w:r>
              <w:rPr>
                <w:rFonts w:ascii="Times New Roman" w:hAnsi="Times New Roman" w:eastAsia="바탕"/>
                <w:color w:val="606068"/>
                <w:sz w:val="18"/>
              </w:rPr>
              <w:t xml:space="preserve"> The stage at which preventable medication harm arises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Grey is the world, red is low- and middle-income countries. We include it because it is not a figure that favours us.</w:t>
            </w:r>
          </w:p>
          <w:p>
            <w:pPr>
              <w:spacing w:after="80" w:line="276" w:lineRule="auto"/>
              <w:jc w:val="both"/>
            </w:pPr>
            <w:r>
              <w:rPr>
                <w:rFonts w:ascii="Times New Roman" w:hAnsi="Times New Roman" w:eastAsia="바탕"/>
                <w:sz w:val="20"/>
              </w:rPr>
              <w:t>The centre of gravity of this harm therefore lies with the prescriber rather than the patient, and that skew is more pronounced in the regions we target. This app does not intervene at the prescribing stage.</w:t>
            </w:r>
          </w:p>
          <w:p>
            <w:pPr>
              <w:spacing w:after="80" w:line="276" w:lineRule="auto"/>
              <w:jc w:val="both"/>
            </w:pPr>
            <w:r>
              <w:rPr>
                <w:rFonts w:ascii="Times New Roman" w:hAnsi="Times New Roman" w:eastAsia="바탕"/>
                <w:sz w:val="20"/>
              </w:rPr>
              <w:t>Two reasons nonetheless led this work to the patient stage. First, harm at the prescribing stage occurs where clinicians are present, so it can be reduced through prescription-review systems and training, and that is in fact what the international policy cited earlier in §1.4 does. Second, the patient stage is the one place that policy does not reach. Being a smaller share and having someone able to act on it are different statements, and what we chose was not the larger share but the place where no one is standing.</w:t>
            </w:r>
          </w:p>
          <w:p>
            <w:pPr>
              <w:spacing w:after="80" w:line="276" w:lineRule="auto"/>
              <w:jc w:val="both"/>
            </w:pPr>
            <w:r>
              <w:rPr>
                <w:rFonts w:ascii="Times New Roman" w:hAnsi="Times New Roman" w:eastAsia="바탕"/>
                <w:sz w:val="20"/>
              </w:rPr>
              <w:t>That choice carries a cost. If the prescription is already wrong, this app delivers a wrong prescription accurately. In §5.7, nine of the twelve pharmacy respondents answering that a pharmacist must review every time is pointing at exactly this.</w:t>
            </w:r>
          </w:p>
          <w:p>
            <w:pPr>
              <w:spacing w:after="80" w:line="276" w:lineRule="auto"/>
              <w:jc w:val="both"/>
            </w:pPr>
            <w:r>
              <w:rPr>
                <w:rFonts w:ascii="Times New Roman" w:hAnsi="Times New Roman" w:eastAsia="바탕"/>
                <w:sz w:val="20"/>
              </w:rPr>
              <w:t>Returning to Gurwitz et al.'s three stages: prescribing and monitoring occur where clinicians are present, so there is room to fix them through systems. One of the remaining five occurs at the moment the patient takes out their medicine at home, and there is no one there to put the mistake right. Read alongside the finding in the same study that 42.2% of the 578 events classified as serious, life threatening or fatal were preventable, it is also clear that what is missed at this stage is not of a trivial kind.</w:t>
            </w:r>
          </w:p>
          <w:p>
            <w:pPr>
              <w:spacing w:after="80" w:line="276" w:lineRule="auto"/>
              <w:jc w:val="both"/>
            </w:pPr>
            <w:r>
              <w:rPr>
                <w:rFonts w:ascii="Times New Roman" w:hAnsi="Times New Roman" w:eastAsia="바탕"/>
                <w:sz w:val="20"/>
              </w:rPr>
              <w:t xml:space="preserve">Where that reach ends also shows up in staffing. Physician density is 2.9 per 10,000 population in sub-Saharan Africa against 38.3 in Central and Eastern Europe and Central Asia, a gap of more than thirteenfold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When consultation time shortens, the first thing cut is the explanation of how to take the medicine, and the share thus cut has to be made up by the patient reading the paper alone. That the regions with the lowest literacy and the regions with the least health workforce coincide is the structure of this problem.</w:t>
            </w:r>
          </w:p>
          <w:p>
            <w:pPr>
              <w:spacing w:before="180" w:after="40"/>
            </w:pPr>
            <w:r>
              <w:rPr>
                <w:rFonts w:ascii="Times New Roman" w:hAnsi="Times New Roman" w:eastAsia="바탕"/>
                <w:b/>
                <w:sz w:val="23"/>
              </w:rPr>
              <w:t>1.5 The undiagnosed population as a precondition</w:t>
            </w:r>
          </w:p>
          <w:p>
            <w:pPr>
              <w:spacing w:after="80" w:line="276" w:lineRule="auto"/>
              <w:jc w:val="both"/>
            </w:pPr>
            <w:r>
              <w:rPr>
                <w:rFonts w:ascii="Times New Roman" w:hAnsi="Times New Roman" w:eastAsia="바탕"/>
                <w:sz w:val="20"/>
              </w:rPr>
              <w:t>Existing personalised health apps assume the user knows their own condition. That assumption does not hold.</w:t>
            </w:r>
          </w:p>
          <w:p>
            <w:pPr>
              <w:spacing w:after="80" w:line="276" w:lineRule="auto"/>
              <w:jc w:val="both"/>
            </w:pPr>
            <w:r>
              <w:rPr>
                <w:rFonts w:ascii="Times New Roman" w:hAnsi="Times New Roman" w:eastAsia="바탕"/>
                <w:sz w:val="20"/>
              </w:rPr>
              <w:t xml:space="preserve">Diabetes prevalence among adults aged 20 to 79 is 11.1%, reaching 589 million people, and of these </w:t>
            </w:r>
            <w:r>
              <w:rPr>
                <w:rFonts w:ascii="Times New Roman" w:hAnsi="Times New Roman" w:eastAsia="바탕"/>
                <w:b/>
                <w:sz w:val="20"/>
              </w:rPr>
              <w:t>252 million, about 43%, do not know they have diabetes</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Three in four adults with diabetes live in low- and middle-income countries. The figure is projected to reach 853 million (13%) by 2050, and in 2024 alone diabetes caused 3.4 million deaths, one every nine seconds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The number that matters to us here is not the prevalence but the </w:t>
            </w:r>
            <w:r>
              <w:rPr>
                <w:rFonts w:ascii="Times New Roman" w:hAnsi="Times New Roman" w:eastAsia="바탕"/>
                <w:b/>
                <w:sz w:val="20"/>
              </w:rPr>
              <w:t>43%</w:t>
            </w:r>
            <w:r>
              <w:rPr>
                <w:rFonts w:ascii="Times New Roman" w:hAnsi="Times New Roman" w:eastAsia="바탕"/>
                <w:sz w:val="20"/>
              </w:rPr>
              <w:t>. These people have never been to a hospital and received the name, so they answer no to the question "do you have diabetes." The app that receives that answer then gives them a verdict computed without regard to diabetes.</w:t>
            </w:r>
          </w:p>
          <w:p>
            <w:pPr>
              <w:spacing w:after="80" w:line="276" w:lineRule="auto"/>
              <w:jc w:val="both"/>
            </w:pPr>
            <w:r>
              <w:rPr>
                <w:rFonts w:ascii="Times New Roman" w:hAnsi="Times New Roman" w:eastAsia="바탕"/>
                <w:sz w:val="20"/>
              </w:rPr>
              <w:t xml:space="preserve">The same value appears again in hypertension. As of 2024, 1.4 billion adults aged 30 to 79 have hypertension (33% of that age range), and 600 million of them, 44%, are unaware that they have the condition. Those both diagnosed and treated number 630 million (44%), and only 320 million (23%) have their blood pressure actually under control (World Health Organization, </w:t>
            </w:r>
            <w:r>
              <w:rPr>
                <w:rFonts w:ascii="Times New Roman" w:hAnsi="Times New Roman" w:eastAsia="바탕"/>
                <w:i/>
                <w:sz w:val="20"/>
              </w:rPr>
              <w:t>Hypertension</w:t>
            </w:r>
            <w:r>
              <w:rPr>
                <w:rFonts w:ascii="Times New Roman" w:hAnsi="Times New Roman" w:eastAsia="바탕"/>
                <w:sz w:val="20"/>
              </w:rPr>
              <w:t xml:space="preserve"> fact sheet, 2024 estimates).</w:t>
            </w:r>
          </w:p>
          <w:p>
            <w:pPr>
              <w:spacing w:after="80" w:line="276" w:lineRule="auto"/>
              <w:jc w:val="both"/>
            </w:pPr>
            <w:r>
              <w:rPr>
                <w:rFonts w:ascii="Times New Roman" w:hAnsi="Times New Roman" w:eastAsia="바탕"/>
                <w:sz w:val="20"/>
              </w:rPr>
              <w:t>That both conditions land on 43% and 44% is no coincidence. A diagnosis is a name attached only to people who can reach testing, and the conditions that keep people from testing largely overlap with the conditions of low literacy. A screen that asks about conditions by diagnostic name misses both of these groups in the same way.</w:t>
            </w:r>
          </w:p>
          <w:p>
            <w:pPr>
              <w:spacing w:after="80" w:line="276" w:lineRule="auto"/>
              <w:jc w:val="both"/>
            </w:pPr>
            <w:r>
              <w:rPr>
                <w:rFonts w:ascii="Times New Roman" w:hAnsi="Times New Roman" w:eastAsia="바탕"/>
                <w:sz w:val="20"/>
              </w:rPr>
              <w:t xml:space="preserve">Food allergy shows the same structure. Self-reported prevalence is consistently higher than clinically confirmed prevalence, which suggests a substantial number of people without access to diagnostic means. In the United States about 18 million adults, 7 in every 100, have a food allergy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The question "what are you allergic to" is therefore a question only someone who has been tested can answer. Leaving that assumption in place filters out, at the very first screen, the people who most need the help.</w:t>
            </w:r>
          </w:p>
          <w:p>
            <w:pPr>
              <w:spacing w:after="80" w:line="276" w:lineRule="auto"/>
              <w:jc w:val="both"/>
            </w:pPr>
            <w:r>
              <w:rPr>
                <w:rFonts w:ascii="Times New Roman" w:hAnsi="Times New Roman" w:eastAsia="바탕"/>
                <w:sz w:val="20"/>
              </w:rPr>
              <w:t xml:space="preserve">There is one further assumption. Even someone who can read, in their own language, has no guarantee that they can see the letters at all. At least 2.2 billion people worldwide have near or distance vision impairment, and in at least 1 billion of them it could have been prevented or has yet to be addressed. The prevalence of distance vision impairment in low- and middle-income regions is estimated at four times that of high-income regions, and the majority of people with vision impairment and blindness are over the age of 50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That figure is three times the 739 million non-literate adults of §1.1. In the expert survey of §5.7, five respondents remarked that the largest group of people who cannot read is likely to be blind and partially sighted people rather than non-literate people, and this figure supports that remark. How far the two groups overlap, and how many of those with vision impairment actually cannot read a medication instruction, cannot be established from this source.</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7]</w:t>
            </w:r>
            <w:r>
              <w:rPr>
                <w:rFonts w:ascii="Times New Roman" w:hAnsi="Times New Roman" w:eastAsia="바탕"/>
                <w:color w:val="606068"/>
                <w:sz w:val="18"/>
              </w:rPr>
              <w:t xml:space="preserve"> Three ways of not being able to read a prescription. The three overlap, and they come from different sources with different denominators, so they are not placed here to be compared in size. What this document has addressed since §1.1 is the middle bar; the bar above is a layer we have not addressed. The bottom line is not drawn as a bar because its denominator differs.</w:t>
            </w:r>
          </w:p>
          <w:p>
            <w:pPr>
              <w:spacing w:after="80" w:line="276" w:lineRule="auto"/>
              <w:jc w:val="both"/>
            </w:pPr>
            <w:r>
              <w:rPr>
                <w:rFonts w:ascii="Times New Roman" w:hAnsi="Times New Roman" w:eastAsia="바탕"/>
                <w:sz w:val="20"/>
              </w:rPr>
              <w:t xml:space="preserve">What that layer lacks has been measured as well. More than 2.5 billion people worldwide need one or more assistive products, and the figure is projected to reach 3.5 billion by 2050 as populations age and noncommunicable disease rises. Access is uneven. </w:t>
            </w:r>
            <w:r>
              <w:rPr>
                <w:rFonts w:ascii="Times New Roman" w:hAnsi="Times New Roman" w:eastAsia="바탕"/>
                <w:b/>
                <w:sz w:val="20"/>
              </w:rPr>
              <w:t>In some low-income countries as few as 3% of people have access to the assistive products they need, against 90% in some high-income countries</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and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That gap overlaps with the regions we target. Smartphones have already spread, as §1.6 showed, and assistive devices have not, so there is a real difference between something that runs on the device already in someone's hand and something that needs separate equipment.</w:t>
            </w:r>
          </w:p>
          <w:p>
            <w:pPr>
              <w:spacing w:after="80" w:line="276" w:lineRule="auto"/>
              <w:jc w:val="both"/>
            </w:pPr>
            <w:r>
              <w:rPr>
                <w:rFonts w:ascii="Times New Roman" w:hAnsi="Times New Roman" w:eastAsia="바탕"/>
                <w:sz w:val="20"/>
              </w:rPr>
              <w:t>This app was not designed for blindness. The pictures are drawn large and speech is attached, but two responses in §5.7 noted that the act of taking a photograph is itself a barrier for someone who cannot see. It is a layer we have not addressed and it belongs to the unverified items in §5.10.</w:t>
            </w:r>
          </w:p>
          <w:p>
            <w:pPr>
              <w:spacing w:after="80" w:line="276" w:lineRule="auto"/>
              <w:jc w:val="both"/>
            </w:pPr>
            <w:r>
              <w:rPr>
                <w:rFonts w:ascii="Times New Roman" w:hAnsi="Times New Roman" w:eastAsia="바탕"/>
                <w:sz w:val="20"/>
              </w:rPr>
              <w:t xml:space="preserve">There is a further assumption still. Even someone who can read has no guarantee that the text in front of them is in their own language. Forty percent of the world's population does not have access to education in a language they understand, and most literacy surveys themselves measure in a single language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Prescriptions and nutrition labels are printed in a country's official language or in English, so among those counted as "able to read" in literacy statistics there are people who cannot read the paper in front of them. Pictures and speech step over both layers at once. After the survey of §5.7 the speech acquired the languages of the six countries the respondents work in; the account and its limits are in §5.7.</w:t>
            </w:r>
          </w:p>
          <w:p>
            <w:pPr>
              <w:spacing w:after="80" w:line="276" w:lineRule="auto"/>
              <w:jc w:val="both"/>
            </w:pPr>
            <w:r>
              <w:rPr>
                <w:rFonts w:ascii="Times New Roman" w:hAnsi="Times New Roman" w:eastAsia="바탕"/>
                <w:sz w:val="20"/>
              </w:rPr>
              <w:t>This section doubted one premise: that the user knows their own condition. The survey handed us a premise we had not doubted. Asked whether a patient who cannot read could take their medicine correctly with only these screens, Yonghan Lee, Senior Manager at the Korea Craft and Design Foundation, answered:</w:t>
            </w:r>
          </w:p>
          <w:p>
            <w:pPr>
              <w:spacing w:after="40" w:line="276" w:lineRule="auto"/>
              <w:ind w:left="403"/>
            </w:pPr>
            <w:r>
              <w:rPr>
                <w:rFonts w:ascii="Times New Roman" w:hAnsi="Times New Roman" w:eastAsia="바탕"/>
                <w:i/>
                <w:color w:val="606068"/>
                <w:sz w:val="19"/>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80" w:line="276" w:lineRule="auto"/>
              <w:jc w:val="both"/>
            </w:pPr>
            <w:r>
              <w:rPr>
                <w:rFonts w:ascii="Times New Roman" w:hAnsi="Times New Roman" w:eastAsia="바탕"/>
                <w:sz w:val="20"/>
              </w:rPr>
              <w:t>This app begins with one photograph. That premise — that taking it is possible for anyone — we never tested anywhere in this document. If the 43% above are people who do not know their illness, this point is about people who cannot see the screen, and both are premises we built into the design without counting them.</w:t>
            </w:r>
          </w:p>
          <w:p>
            <w:pPr>
              <w:spacing w:after="80" w:line="276" w:lineRule="auto"/>
              <w:jc w:val="both"/>
            </w:pPr>
            <w:r>
              <w:rPr>
                <w:rFonts w:ascii="Times New Roman" w:hAnsi="Times New Roman" w:eastAsia="바탕"/>
                <w:sz w:val="20"/>
              </w:rPr>
              <w:t>This app did not take blind users as its target. The premise of §1.5 is being undiagnosed rather than being visually impaired, and of the three layers §2.1 overlays, picture and colour both require sight. Speech alone still carries the verdict, but the photographing remains. We have recorded that gap as the eighth item in §5.9, and how far a screen reader and assisted capture can be joined to this is left to §5.10.</w:t>
            </w:r>
          </w:p>
          <w:p>
            <w:pPr>
              <w:spacing w:before="180" w:after="40"/>
            </w:pPr>
            <w:r>
              <w:rPr>
                <w:rFonts w:ascii="Times New Roman" w:hAnsi="Times New Roman" w:eastAsia="바탕"/>
                <w:b/>
                <w:sz w:val="23"/>
              </w:rPr>
              <w:t>1.6 How widely the delivery medium has spread</w:t>
            </w:r>
          </w:p>
          <w:p>
            <w:pPr>
              <w:spacing w:after="80" w:line="276" w:lineRule="auto"/>
              <w:jc w:val="both"/>
            </w:pPr>
            <w:r>
              <w:rPr>
                <w:rFonts w:ascii="Times New Roman" w:hAnsi="Times New Roman" w:eastAsia="바탕"/>
                <w:sz w:val="20"/>
              </w:rPr>
              <w:t xml:space="preserve">The medium for solving the problem has already spread. In a 2025 survey, smartphone ownership among United States adults aged 65 and over was 78%. In the same survey it was 97% for those under 50 and 90% for those aged 50 to 64, with 91% across all adults, up from 35% in the first survey in 2011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fieldwork 5 February to 18 June 2025, 2025). Mobile internet users in sub-Saharan Africa are projected to grow from about 287 million in 2022 to 438 million in 2030, with smartphone adoption rising from 51% to 88%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[Table 5] Smartphone ownership by age group (United States;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Age group</w:t>
                  </w:r>
                </w:p>
              </w:tc>
              <w:tc>
                <w:tcPr>
                  <w:tcW w:type="dxa" w:w="4882"/>
                  <w:shd w:val="clear" w:fill="F2F2F2"/>
                </w:tcPr>
                <w:p>
                  <w:r>
                    <w:rPr>
                      <w:rFonts w:ascii="Times New Roman" w:hAnsi="Times New Roman" w:eastAsia="바탕"/>
                      <w:b/>
                      <w:sz w:val="18"/>
                    </w:rPr>
                    <w:t>Ownership</w:t>
                  </w:r>
                </w:p>
              </w:tc>
            </w:tr>
            <w:tr>
              <w:tc>
                <w:tcPr>
                  <w:tcW w:type="dxa" w:w="4882"/>
                </w:tcPr>
                <w:p>
                  <w:r>
                    <w:rPr>
                      <w:rFonts w:ascii="Times New Roman" w:hAnsi="Times New Roman" w:eastAsia="바탕"/>
                      <w:sz w:val="18"/>
                    </w:rPr>
                    <w:t>Under 50</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 and over</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What Table 5 says is that people are not failing to use these tools for want of a device. Three in four older adults already own a smartphone. What blocks access is that the screen demands reading.</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8]</w:t>
            </w:r>
            <w:r>
              <w:rPr>
                <w:rFonts w:ascii="Times New Roman" w:hAnsi="Times New Roman" w:eastAsia="바탕"/>
                <w:color w:val="606068"/>
                <w:sz w:val="18"/>
              </w:rPr>
              <w:t xml:space="preserve"> Smartphone ownership by age group (United States;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The gap between those 65 and over and those under 50 is 19 percentage points, already too narrow for "device availability" to explain the problem. The remaining gap lies on the side of the screen.</w:t>
            </w:r>
          </w:p>
          <w:p>
            <w:pPr>
              <w:spacing w:after="80" w:line="276" w:lineRule="auto"/>
              <w:jc w:val="both"/>
            </w:pPr>
            <w:r>
              <w:rPr>
                <w:rFonts w:ascii="Times New Roman" w:hAnsi="Times New Roman" w:eastAsia="바탕"/>
                <w:sz w:val="20"/>
              </w:rPr>
              <w:t xml:space="preserve">Having a device and reaching the internet are different things, however. As of 2024, 5.5 billion people use the internet (68% of the world population), while 2.6 billion still do not. That is 32% of the world population, one person in three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Owning a device and being able to keep using it are also different things. Asked in §5.7 where this app would fail first for an older patient living alone, the nine nursing and public health respondents split between not being able to operate the screen (4) and not being able to manage the device (4). The latter is charging and loss, and lies outside our design. Professor Namsoo Park of Hyupsung University objected to the single-choice design of the question itself and wrote that the three arrive together.</w:t>
            </w:r>
          </w:p>
          <w:p>
            <w:pPr>
              <w:spacing w:after="40" w:line="276" w:lineRule="auto"/>
              <w:ind w:left="403"/>
            </w:pPr>
            <w:r>
              <w:rPr>
                <w:rFonts w:ascii="Times New Roman" w:hAnsi="Times New Roman" w:eastAsia="바탕"/>
                <w:i/>
                <w:color w:val="606068"/>
                <w:sz w:val="19"/>
              </w:rPr>
              <w:t>"Only one answer is allowed, but I think operating the screen, managing the device and trust in the app (given the characteristics of older people) can all be causes."</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The offline operation of §4.5 handles a connection being cut; it does not handle the device being off. The ownership rates in Table 5 are the ceiling on who this app can reach, not the number it actually reaches.</w:t>
            </w:r>
          </w:p>
          <w:p>
            <w:pPr>
              <w:spacing w:after="80" w:line="276" w:lineRule="auto"/>
              <w:jc w:val="both"/>
            </w:pPr>
            <w:r>
              <w:rPr>
                <w:rFonts w:ascii="Times New Roman" w:hAnsi="Times New Roman" w:eastAsia="바탕"/>
                <w:sz w:val="20"/>
              </w:rPr>
              <w:t>Those 2.6 billion split SnapCare's design at one point. The verdict has to be produced on the device in the user's hand, because a structure that yields an answer only by asking a server is, for these people, the same as no app at all. The offline operation described in §4.5 and §5.6 is therefore not a convenience but a premise. Regions with low literacy and regions where people do not use the internet are largely the same places, so this app has to work where the two conditions overlap.</w:t>
            </w:r>
          </w:p>
          <w:p>
            <w:pPr>
              <w:spacing w:before="180" w:after="40"/>
            </w:pPr>
            <w:r>
              <w:rPr>
                <w:rFonts w:ascii="Times New Roman" w:hAnsi="Times New Roman" w:eastAsia="바탕"/>
                <w:b/>
                <w:sz w:val="23"/>
              </w:rPr>
              <w:t>1.7 The scale of population ageing and its geographic shift</w:t>
            </w:r>
          </w:p>
          <w:p>
            <w:pPr>
              <w:spacing w:after="80" w:line="276" w:lineRule="auto"/>
              <w:jc w:val="both"/>
            </w:pPr>
            <w:r>
              <w:rPr>
                <w:rFonts w:ascii="Times New Roman" w:hAnsi="Times New Roman" w:eastAsia="바탕"/>
                <w:sz w:val="20"/>
              </w:rPr>
              <w:t xml:space="preserve">The population aged 60 and over will grow from 1 billion in 2020 to 1.4 billion in 2030, at which point one person in six worldwide will be 60 or older. By 2050 it doubles again to 2.1 billion, and its share of the world population rises from 12% in 2015 to 22% in 2050. More important is the distribution. </w:t>
            </w:r>
            <w:r>
              <w:rPr>
                <w:rFonts w:ascii="Times New Roman" w:hAnsi="Times New Roman" w:eastAsia="바탕"/>
                <w:b/>
                <w:sz w:val="20"/>
              </w:rPr>
              <w:t>By 2050 two thirds of the population aged 60 and over will live in low- and middle-income countries</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9]</w:t>
            </w:r>
            <w:r>
              <w:rPr>
                <w:rFonts w:ascii="Times New Roman" w:hAnsi="Times New Roman" w:eastAsia="바탕"/>
                <w:color w:val="606068"/>
                <w:sz w:val="18"/>
              </w:rPr>
              <w:t xml:space="preserve"> The scale and geographic shift of the older population, and the position those people are in. Only the 2050 bar on the left is split in two, because the source gives the distribution for that year alone. Splitting the two earlier years in the same proportion would mean drawing something the data does not contain. The three on the right are measured among Korean adults aged 65 and over, and the distance between the top bar and the bottom one is where this proposal sits.</w:t>
            </w:r>
          </w:p>
          <w:p>
            <w:pPr>
              <w:spacing w:after="80" w:line="276" w:lineRule="auto"/>
              <w:jc w:val="both"/>
            </w:pPr>
            <w:r>
              <w:rPr>
                <w:rFonts w:ascii="Times New Roman" w:hAnsi="Times New Roman" w:eastAsia="바탕"/>
                <w:sz w:val="20"/>
              </w:rPr>
              <w:t>Ageing is commonly perceived as a problem of wealthy countries, but it is in fact moving in the opposite direction. And older adults in low- and middle-income countries are a group in which three conditions overlap: a higher likelihood of low literacy, taking several medicines at once, and difficulty accessing care.</w:t>
            </w:r>
          </w:p>
          <w:p>
            <w:pPr>
              <w:spacing w:after="80" w:line="276" w:lineRule="auto"/>
              <w:jc w:val="both"/>
            </w:pPr>
            <w:r>
              <w:rPr>
                <w:rFonts w:ascii="Times New Roman" w:hAnsi="Times New Roman" w:eastAsia="바탕"/>
                <w:sz w:val="20"/>
              </w:rPr>
              <w:t xml:space="preserve">The middle condition is confirmed numerically. Synthesising 545 studies covering 16.62 million people in 56 countries, the prevalence of polypharmacy among older adults is 50.4% (95% CI 48.2–52.7%), and each additional medicine raises the hazard ratio for mortality by 1.05 (1.03–1.06), for emergency care by 1.02 (1.02–1.03) and for hospitalisation by 1.04 (1.02–1.07)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That half of older adults take five or more medicines together also means that several medicines arrive on one screen of this app at once. In §5.7, Niken Nur Widyakusuma, a pharmacist at Universitas Gadjah Mada in Indonesia, noting that "when several medicines are handed over at once it is hard to tell which one is three times a day" comes out of this condition.</w:t>
            </w:r>
          </w:p>
          <w:p>
            <w:pPr>
              <w:spacing w:after="80" w:line="276" w:lineRule="auto"/>
              <w:jc w:val="both"/>
            </w:pPr>
            <w:r>
              <w:rPr>
                <w:rFonts w:ascii="Times New Roman" w:hAnsi="Times New Roman" w:eastAsia="바탕"/>
                <w:sz w:val="20"/>
              </w:rPr>
              <w:t xml:space="preserve">Korean data show this overlap concretely. In a study surveying 131 people aged 65 and over, </w:t>
            </w:r>
            <w:r>
              <w:rPr>
                <w:rFonts w:ascii="Times New Roman" w:hAnsi="Times New Roman" w:eastAsia="바탕"/>
                <w:b/>
                <w:sz w:val="20"/>
              </w:rPr>
              <w:t>79.4% took their medicines themselves</w:t>
            </w:r>
            <w:r>
              <w:rPr>
                <w:rFonts w:ascii="Times New Roman" w:hAnsi="Times New Roman" w:eastAsia="바탕"/>
                <w:sz w:val="20"/>
              </w:rPr>
              <w:t xml:space="preserve"> while only </w:t>
            </w:r>
            <w:r>
              <w:rPr>
                <w:rFonts w:ascii="Times New Roman" w:hAnsi="Times New Roman" w:eastAsia="바탕"/>
                <w:b/>
                <w:sz w:val="20"/>
              </w:rPr>
              <w:t>28.2%</w:t>
            </w:r>
            <w:r>
              <w:rPr>
                <w:rFonts w:ascii="Times New Roman" w:hAnsi="Times New Roman" w:eastAsia="바탕"/>
                <w:sz w:val="20"/>
              </w:rPr>
              <w:t xml:space="preserve"> had received medication safety education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And the share of that age group with adequate health literacy is 40.3%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 Most of them have to manage on their own, while only a minority are equipped to read what they are given.</w:t>
            </w:r>
          </w:p>
          <w:p>
            <w:pPr>
              <w:spacing w:after="80" w:line="276" w:lineRule="auto"/>
              <w:jc w:val="both"/>
            </w:pPr>
            <w:r>
              <w:rPr>
                <w:rFonts w:ascii="Times New Roman" w:hAnsi="Times New Roman" w:eastAsia="바탕"/>
                <w:sz w:val="20"/>
              </w:rPr>
              <w:t>The sample of 131 is small and the survey was conducted in 2017, which should be stated. Using this value as an estimate for Korean older adults as a whole would be a stretch, and what is used here is the direction of the ratio: that those managing on their own far outnumber those who have been taught how.</w:t>
            </w:r>
          </w:p>
          <w:p>
            <w:pPr>
              <w:spacing w:after="80" w:line="276" w:lineRule="auto"/>
              <w:jc w:val="both"/>
            </w:pPr>
            <w:r>
              <w:rPr>
                <w:rFonts w:ascii="Times New Roman" w:hAnsi="Times New Roman" w:eastAsia="바탕"/>
                <w:sz w:val="20"/>
              </w:rPr>
              <w:t xml:space="preserve">The same structure is observed in Moldova. Between 2015 and 2060 the population is projected to fall by 31% and the median age to rise from 38 to 47, while </w:t>
            </w:r>
            <w:r>
              <w:rPr>
                <w:rFonts w:ascii="Times New Roman" w:hAnsi="Times New Roman" w:eastAsia="바탕"/>
                <w:b/>
                <w:sz w:val="20"/>
              </w:rPr>
              <w:t>the share of older people more than doubles to 27%.</w:t>
            </w:r>
            <w:r>
              <w:rPr>
                <w:rFonts w:ascii="Times New Roman" w:hAnsi="Times New Roman" w:eastAsia="바탕"/>
                <w:sz w:val="20"/>
              </w:rPr>
              <w:t xml:space="preserve"> The disease burden is overwhelmingly concentrated in noncommunicable diseases, and between 2008 and 2015 diabetes prevalence rose by 75% and circulatory disease by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There is also research addressing the relationship between health literacy and primary care use directly in a Moldovan population. The subjects of that study, however, are not residents of Moldova but </w:t>
            </w:r>
            <w:r>
              <w:rPr>
                <w:rFonts w:ascii="Times New Roman" w:hAnsi="Times New Roman" w:eastAsia="바탕"/>
                <w:b/>
                <w:sz w:val="20"/>
              </w:rPr>
              <w:t>170 Moldovan migrant women living in Padua, Italy</w:t>
            </w:r>
            <w:r>
              <w:rPr>
                <w:rFonts w:ascii="Times New Roman" w:hAnsi="Times New Roman" w:eastAsia="바탕"/>
                <w:sz w:val="20"/>
              </w:rPr>
              <w:t xml:space="preserve">, and it reports higher smoking rates (33.3% against 14.3%) and fewer visits to a general practitioner among those with lower literacy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Being a migrant sample, it cannot be transferred directly to the population inside Moldova. What we take from this study is not the figures but </w:t>
            </w:r>
            <w:r>
              <w:rPr>
                <w:rFonts w:ascii="Times New Roman" w:hAnsi="Times New Roman" w:eastAsia="바탕"/>
                <w:b/>
                <w:sz w:val="20"/>
              </w:rPr>
              <w:t>the relationship, that health literacy is in fact linked to primary care use</w:t>
            </w:r>
            <w:r>
              <w:rPr>
                <w:rFonts w:ascii="Times New Roman" w:hAnsi="Times New Roman" w:eastAsia="바탕"/>
                <w:sz w:val="20"/>
              </w:rPr>
              <w:t>, and confirming that relationship in Moldova itself belongs to the field evaluation in §5.9.</w:t>
            </w:r>
          </w:p>
          <w:p>
            <w:pPr>
              <w:spacing w:after="80" w:line="276" w:lineRule="auto"/>
              <w:jc w:val="both"/>
            </w:pPr>
            <w:r>
              <w:rPr>
                <w:rFonts w:ascii="Times New Roman" w:hAnsi="Times New Roman" w:eastAsia="바탕"/>
                <w:sz w:val="20"/>
              </w:rPr>
              <w:t>Whether this section is right to treat old age as a single layer we put back to the survey. Kyungseo Park, Assistant Manager at the Korea Disabled People's Development Institute, wrote in the "anything you would add" box:</w:t>
            </w:r>
          </w:p>
          <w:p>
            <w:pPr>
              <w:spacing w:after="40" w:line="276" w:lineRule="auto"/>
              <w:ind w:left="403"/>
            </w:pPr>
            <w:r>
              <w:rPr>
                <w:rFonts w:ascii="Times New Roman" w:hAnsi="Times New Roman" w:eastAsia="바탕"/>
                <w:i/>
                <w:color w:val="606068"/>
                <w:sz w:val="19"/>
              </w:rPr>
              <w:t>"Being in a position of not being able to read comes from a range of individual circumstances: old age, childhood, blindness, low vision. It is certainly needed, and our own institute has run projects such as typeface development for legibility."</w:t>
            </w:r>
          </w:p>
          <w:p>
            <w:pPr>
              <w:spacing w:after="180" w:line="276" w:lineRule="auto"/>
              <w:ind w:left="403"/>
            </w:pPr>
            <w:r>
              <w:rPr>
                <w:rFonts w:ascii="Times New Roman" w:hAnsi="Times New Roman" w:eastAsia="바탕"/>
                <w:i w:val="0"/>
                <w:color w:val="606068"/>
                <w:sz w:val="19"/>
              </w:rPr>
              <w:t>(Kyungseo Park, Assistant Manager, Korea Disabled People's Development Institute)</w:t>
            </w:r>
          </w:p>
          <w:p>
            <w:pPr>
              <w:spacing w:after="80" w:line="276" w:lineRule="auto"/>
              <w:jc w:val="both"/>
            </w:pPr>
            <w:r>
              <w:rPr>
                <w:rFonts w:ascii="Times New Roman" w:hAnsi="Times New Roman" w:eastAsia="바탕"/>
                <w:sz w:val="20"/>
              </w:rPr>
              <w:t>That answer joins this section to §1.1. §1.1 counted non-literacy as a matter of educational opportunity and this section counts ageing as a matter of population structure, but in the field the two meet in one person. Eyes that have weakened with age and never having been taught come to the same thing in front of a screen, and that is why this app does not separate them. The same answer told us one thing more: an institution in Korea has already approached this problem from the typeface side, which means making letters easier to read and not using letters at all are two answers to one problem. We chose the second and do not claim the first is wrong.</w:t>
            </w:r>
          </w:p>
          <w:p>
            <w:pPr>
              <w:spacing w:before="180" w:after="40"/>
            </w:pPr>
            <w:r>
              <w:rPr>
                <w:rFonts w:ascii="Times New Roman" w:hAnsi="Times New Roman" w:eastAsia="바탕"/>
                <w:b/>
                <w:sz w:val="23"/>
              </w:rPr>
              <w:t>1.8 The effect and the limits of visual delivery</w:t>
            </w:r>
          </w:p>
          <w:p>
            <w:pPr>
              <w:spacing w:after="80" w:line="276" w:lineRule="auto"/>
              <w:jc w:val="both"/>
            </w:pPr>
            <w:r>
              <w:rPr>
                <w:rFonts w:ascii="Times New Roman" w:hAnsi="Times New Roman" w:eastAsia="바탕"/>
                <w:sz w:val="20"/>
              </w:rPr>
              <w:t xml:space="preserve">That pictures are remembered better than text is a repeatedly verified finding in cognitive psychology. The picture superiority effect refers to pictures being recalled at higher rates than words and persisting longer, and dual coding theory explains this by holding that visual information is encoded along both a visual and a verbal route, giving two paths to recall, whereas text is not readily encoded visually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In health communication as well, pictures closely tied to text markedly increase attention and recall relative to text alone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Two distinctions have to be drawn here, however.</w:t>
            </w:r>
          </w:p>
          <w:p>
            <w:pPr>
              <w:spacing w:after="80" w:line="276" w:lineRule="auto"/>
              <w:jc w:val="both"/>
            </w:pPr>
            <w:r>
              <w:rPr>
                <w:rFonts w:ascii="Times New Roman" w:hAnsi="Times New Roman" w:eastAsia="바탕"/>
                <w:sz w:val="20"/>
              </w:rPr>
              <w:t>First, the result of Houts et al. holds for pictures closely combined with text or with speech. The original writes "written or spoken text." This distinction bears directly on the present design. SnapCare pairs pictures with speech rather than with text, so it corresponds to the latter of the two conditions Houts et al. covered. We were unable to confirm whether the studies included in that review addressed the spoken condition as extensively as the written one, and the effect on a screen with text removed entirely still needs separate verification.</w:t>
            </w:r>
          </w:p>
          <w:p>
            <w:pPr>
              <w:spacing w:after="80" w:line="276" w:lineRule="auto"/>
              <w:jc w:val="both"/>
            </w:pPr>
            <w:r>
              <w:rPr>
                <w:rFonts w:ascii="Times New Roman" w:hAnsi="Times New Roman" w:eastAsia="바탕"/>
                <w:sz w:val="20"/>
              </w:rPr>
              <w:t xml:space="preserve">Second, drawing a picture and having it read correctly are different things. ISO 9186-1, the international standard for graphical symbols, requires that at least 67% of users understand a symbol correctly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while ANSI Z535.3, the United States safety sign standard, requires both a correct-response rate of 85% or higher in a sample of at least 50 people and </w:t>
            </w:r>
            <w:r>
              <w:rPr>
                <w:rFonts w:ascii="Times New Roman" w:hAnsi="Times New Roman" w:eastAsia="바탕"/>
                <w:b/>
                <w:sz w:val="20"/>
              </w:rPr>
              <w:t>critical confusion of 5% or less</w:t>
            </w:r>
            <w:r>
              <w:rPr>
                <w:rFonts w:ascii="Times New Roman" w:hAnsi="Times New Roman" w:eastAsia="바탕"/>
                <w:sz w:val="20"/>
              </w:rPr>
              <w:t xml:space="preserve">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How far the pharmaceutical pictograms actually produced pass these criteria is the crux of the problem.</w:t>
            </w:r>
          </w:p>
          <w:p>
            <w:pPr>
              <w:spacing w:after="80" w:line="276" w:lineRule="auto"/>
              <w:jc w:val="both"/>
            </w:pPr>
            <w:r>
              <w:rPr>
                <w:rFonts w:ascii="Times New Roman" w:hAnsi="Times New Roman" w:eastAsia="바탕"/>
                <w:sz w:val="20"/>
              </w:rPr>
              <w:t>[Table 6] Pass rates of pharmaceutical pictograms against comprehension criteria</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Study</w:t>
                  </w:r>
                </w:p>
              </w:tc>
              <w:tc>
                <w:tcPr>
                  <w:tcW w:type="dxa" w:w="2441"/>
                  <w:shd w:val="clear" w:fill="F2F2F2"/>
                </w:tcPr>
                <w:p>
                  <w:r>
                    <w:rPr>
                      <w:rFonts w:ascii="Times New Roman" w:hAnsi="Times New Roman" w:eastAsia="바탕"/>
                      <w:b/>
                      <w:sz w:val="18"/>
                    </w:rPr>
                    <w:t>Subjects</w:t>
                  </w:r>
                </w:p>
              </w:tc>
              <w:tc>
                <w:tcPr>
                  <w:tcW w:type="dxa" w:w="2441"/>
                  <w:shd w:val="clear" w:fill="F2F2F2"/>
                </w:tcPr>
                <w:p>
                  <w:r>
                    <w:rPr>
                      <w:rFonts w:ascii="Times New Roman" w:hAnsi="Times New Roman" w:eastAsia="바탕"/>
                      <w:b/>
                      <w:sz w:val="18"/>
                    </w:rPr>
                    <w:t>Criterion</w:t>
                  </w:r>
                </w:p>
              </w:tc>
              <w:tc>
                <w:tcPr>
                  <w:tcW w:type="dxa" w:w="2441"/>
                  <w:shd w:val="clear" w:fill="F2F2F2"/>
                </w:tcPr>
                <w:p>
                  <w:r>
                    <w:rPr>
                      <w:rFonts w:ascii="Times New Roman" w:hAnsi="Times New Roman" w:eastAsia="바탕"/>
                      <w:b/>
                      <w:sz w:val="18"/>
                    </w:rPr>
                    <w:t>Result</w:t>
                  </w:r>
                </w:p>
              </w:tc>
            </w:tr>
            <w:tr>
              <w:tc>
                <w:tcPr>
                  <w:tcW w:type="dxa" w:w="2441"/>
                </w:tcPr>
                <w:p>
                  <w:r>
                    <w:rPr>
                      <w:rFonts w:ascii="Times New Roman" w:hAnsi="Times New Roman" w:eastAsia="바탕"/>
                      <w:sz w:val="18"/>
                    </w:rPr>
                    <w:t>Gutierrez et al. (2022)</w:t>
                  </w:r>
                </w:p>
              </w:tc>
              <w:tc>
                <w:tcPr>
                  <w:tcW w:type="dxa" w:w="2441"/>
                </w:tcPr>
                <w:p>
                  <w:r>
                    <w:rPr>
                      <w:rFonts w:ascii="Times New Roman" w:hAnsi="Times New Roman" w:eastAsia="바탕"/>
                      <w:sz w:val="18"/>
                    </w:rPr>
                    <w:t>Filipino adults · 82 USP + 26 FIP symbols</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Passed </w:t>
                  </w:r>
                  <w:r>
                    <w:rPr>
                      <w:rFonts w:ascii="Times New Roman" w:hAnsi="Times New Roman" w:eastAsia="바탕"/>
                      <w:b/>
                      <w:sz w:val="18"/>
                    </w:rPr>
                    <w:t>17 of 108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Low-literate South African adults · 10 locally made</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Passed </w:t>
                  </w:r>
                  <w:r>
                    <w:rPr>
                      <w:rFonts w:ascii="Times New Roman" w:hAnsi="Times New Roman" w:eastAsia="바탕"/>
                      <w:b/>
                      <w:sz w:val="18"/>
                    </w:rPr>
                    <w:t>8 of 10 (80%)</w:t>
                  </w:r>
                  <w:r>
                    <w:rPr>
                      <w:rFonts w:ascii="Times New Roman" w:hAnsi="Times New Roman" w:eastAsia="바탕"/>
                      <w:sz w:val="18"/>
                    </w:rPr>
                    <w:t xml:space="preserve"> · mean comprehension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46 South African Xhosa speakers (≤7 years schooling) · 23 symbols each</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Locally made </w:t>
                  </w:r>
                  <w:r>
                    <w:rPr>
                      <w:rFonts w:ascii="Times New Roman" w:hAnsi="Times New Roman" w:eastAsia="바탕"/>
                      <w:b/>
                      <w:sz w:val="18"/>
                    </w:rPr>
                    <w:t>20 of 23 (87%)</w:t>
                  </w:r>
                  <w:r>
                    <w:rPr>
                      <w:rFonts w:ascii="Times New Roman" w:hAnsi="Times New Roman" w:eastAsia="바탕"/>
                      <w:sz w:val="18"/>
                    </w:rPr>
                    <w:t xml:space="preserve"> vs. USP-DI </w:t>
                  </w:r>
                  <w:r>
                    <w:rPr>
                      <w:rFonts w:ascii="Times New Roman" w:hAnsi="Times New Roman" w:eastAsia="바탕"/>
                      <w:b/>
                      <w:sz w:val="18"/>
                    </w:rPr>
                    <w:t>11 of 23 (48%)</w:t>
                  </w:r>
                </w:p>
              </w:tc>
            </w:tr>
          </w:tbl>
          <w:p/>
          <w:p>
            <w:pPr>
              <w:spacing w:after="120"/>
            </w:pPr>
          </w:p>
          <w:p>
            <w:pPr>
              <w:spacing w:after="80" w:line="276" w:lineRule="auto"/>
              <w:jc w:val="both"/>
            </w:pPr>
            <w:r>
              <w:rPr>
                <w:rFonts w:ascii="Times New Roman" w:hAnsi="Times New Roman" w:eastAsia="바탕"/>
                <w:sz w:val="20"/>
              </w:rPr>
              <w:t xml:space="preserve">What Table 6 shows is that making a pictogram does not mean it will be read. When 108 internationally used USP and FIP pictograms were tested on Filipino adults, 17 passed the ANSI 85% criterion, roughly one in six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Placing the three studies side by side shows what separates the pass rates. The highest belongs to the set made locally and tested on local people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8 of 10). The most direct evidence is the controlled comparison by Dowse &amp; Ehlers. When the same 46 people were shown two sets carrying the same instructions, 20 of the 23 locally made symbols (87%) passed the ANSI 85% criterion while only 11 of the 23 USP-DI symbols (48%) did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The same people were asked about the same meanings, and the answers split almost twofold according to where the pictures came from.</w:t>
            </w:r>
          </w:p>
          <w:p>
            <w:pPr>
              <w:spacing w:after="80" w:line="276" w:lineRule="auto"/>
              <w:jc w:val="both"/>
            </w:pPr>
            <w:r>
              <w:rPr>
                <w:rFonts w:ascii="Times New Roman" w:hAnsi="Times New Roman" w:eastAsia="바탕"/>
                <w:sz w:val="20"/>
              </w:rPr>
              <w:t xml:space="preserve">The same thing is observed outside pharmaceutical pictograms. In a study testing 18 internationally standardised in-vitro diagnostic symbols on 293 health workers in four countries, the number of symbols exceeding the ISO criterion was six in Belgium and Cuba, two in the Democratic Republic of the Congo and one in Cambodia. The widest gap was the biological-hazard symbol, answered correctly by 94.1% in Cuba and by 8.0% in the Democratic Republic of the Congo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10]</w:t>
            </w:r>
            <w:r>
              <w:rPr>
                <w:rFonts w:ascii="Times New Roman" w:hAnsi="Times New Roman" w:eastAsia="바탕"/>
                <w:color w:val="606068"/>
                <w:sz w:val="18"/>
              </w:rPr>
              <w:t xml:space="preserve"> The same internationally standardised symbols tested in four countries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On the left, how many of the 18 exceeded the ISO criterion; on the right, the correct-answer rate for the biological-hazard symbol alone. The symbols are the same; only the country differs.</w:t>
            </w:r>
          </w:p>
          <w:p>
            <w:pPr>
              <w:spacing w:after="80" w:line="276" w:lineRule="auto"/>
              <w:jc w:val="both"/>
            </w:pPr>
            <w:r>
              <w:rPr>
                <w:rFonts w:ascii="Times New Roman" w:hAnsi="Times New Roman" w:eastAsia="바탕"/>
                <w:sz w:val="20"/>
              </w:rPr>
              <w:t>One and the same picture becomes 94% in one country and 8% in another. This is the sharpest available demonstration that pictogram comprehension is not settled by the quality of the drawing alone, and it also means that the name "international standard" does not guarantee comprehension.</w:t>
            </w:r>
          </w:p>
          <w:p>
            <w:pPr>
              <w:spacing w:after="80" w:line="276" w:lineRule="auto"/>
              <w:jc w:val="both"/>
            </w:pPr>
            <w:r>
              <w:rPr>
                <w:rFonts w:ascii="Times New Roman" w:hAnsi="Times New Roman" w:eastAsia="바탕"/>
                <w:sz w:val="20"/>
              </w:rPr>
              <w:t>That taking something built as an international standard directly into another culture lowers the pass rate is what this field has observed repeatedly. This is why field evaluation in Moldova is part of our plan (§5.9), and at the same time why the machine-scored results for our own set must be read as values from before cultural adaptation.</w:t>
            </w:r>
          </w:p>
          <w:p>
            <w:pPr>
              <w:spacing w:after="80" w:line="276" w:lineRule="auto"/>
              <w:jc w:val="both"/>
            </w:pPr>
            <w:r>
              <w:rPr>
                <w:rFonts w:ascii="Times New Roman" w:hAnsi="Times New Roman" w:eastAsia="바탕"/>
                <w:sz w:val="20"/>
              </w:rPr>
              <w:t xml:space="preserve">Beyond that, a statistically significant positive correlation between health literacy and pictogram comprehension has been confirmed. The study tested 10 pictograms on 90 people in South Africa; mean comprehension was 7.9 ± 1.8 out of 10, the correlation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and the association with health literacy </w:t>
            </w:r>
            <w:r>
              <w:rPr>
                <w:rFonts w:ascii="Times New Roman" w:hAnsi="Times New Roman" w:eastAsia="바탕"/>
                <w:i/>
                <w:sz w:val="20"/>
              </w:rPr>
              <w:t>p</w:t>
            </w:r>
            <w:r>
              <w:rPr>
                <w:rFonts w:ascii="Times New Roman" w:hAnsi="Times New Roman" w:eastAsia="바탕"/>
                <w:sz w:val="20"/>
              </w:rPr>
              <w:t xml:space="preserve"> = 0.002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There was more misreading among low-literacy participants. This means pictures work least well for the people who need them most, which leads to the design in §2.1, where delivery is not entrusted to a picture alone but layered with speech and colour. There is one further report in the same direction. In a study testing 10 pictograms on 197 pharmacy visitors in the Netherlands, half exceeded the 67% comprehension criterion (individual range 31.0% to 98.5%), but </w:t>
            </w:r>
            <w:r>
              <w:rPr>
                <w:rFonts w:ascii="Times New Roman" w:hAnsi="Times New Roman" w:eastAsia="바탕"/>
                <w:b/>
                <w:sz w:val="20"/>
              </w:rPr>
              <w:t>in the low-literacy group only 2 of the 10 exceeded it.</w:t>
            </w:r>
            <w:r>
              <w:rPr>
                <w:rFonts w:ascii="Times New Roman" w:hAnsi="Times New Roman" w:eastAsia="바탕"/>
                <w:sz w:val="20"/>
              </w:rPr>
              <w:t xml:space="preserve"> In 3 symbols a risk of false confidence, believing one understands while not recognising the symbol, was observed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One line from that paper's conclusion matches our own judgement. </w:t>
            </w:r>
            <w:r>
              <w:rPr>
                <w:rFonts w:ascii="Times New Roman" w:hAnsi="Times New Roman" w:eastAsia="바탕"/>
                <w:b/>
                <w:sz w:val="20"/>
              </w:rPr>
              <w:t>For safety-related information, 67% comprehension may not be enough.</w:t>
            </w:r>
            <w:r>
              <w:rPr>
                <w:rFonts w:ascii="Times New Roman" w:hAnsi="Times New Roman" w:eastAsia="바탕"/>
                <w:sz w:val="20"/>
              </w:rPr>
              <w:t xml:space="preserve"> Passing a criterion and being safe to rely on are different things, which is why SnapCare keeps speech and colour alongside a picture even when the picture passes.</w:t>
            </w:r>
          </w:p>
          <w:p>
            <w:pPr>
              <w:spacing w:after="80" w:line="276" w:lineRule="auto"/>
              <w:jc w:val="both"/>
            </w:pPr>
            <w:r>
              <w:rPr>
                <w:rFonts w:ascii="Times New Roman" w:hAnsi="Times New Roman" w:eastAsia="바탕"/>
                <w:sz w:val="20"/>
              </w:rPr>
              <w:t xml:space="preserve">Evidence in the opposite direction is equally clear at the same spot, however. The liquid-medicine trial cited earlier (§1.3) was a randomised controlled trial, and what separated it from the control arm was instructions containing pictograms. Among caregivers who received pictograms, dosing errors greater than 20% fell from 47.8% to </w:t>
            </w:r>
            <w:r>
              <w:rPr>
                <w:rFonts w:ascii="Times New Roman" w:hAnsi="Times New Roman" w:eastAsia="바탕"/>
                <w:b/>
                <w:sz w:val="20"/>
              </w:rPr>
              <w:t>5.4%</w:t>
            </w:r>
            <w:r>
              <w:rPr>
                <w:rFonts w:ascii="Times New Roman" w:hAnsi="Times New Roman" w:eastAsia="바탕"/>
                <w:sz w:val="20"/>
              </w:rPr>
              <w:t xml:space="preserve"> (absolute risk reduction 42.4 percentage points), and non-adherence fell from 38.0% to 9.3%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In a South African trial dividing 60 low-literate adults with seven years of schooling or less into control and experimental groups, </w:t>
            </w:r>
            <w:r>
              <w:rPr>
                <w:rFonts w:ascii="Times New Roman" w:hAnsi="Times New Roman" w:eastAsia="바탕"/>
                <w:b/>
                <w:sz w:val="20"/>
              </w:rPr>
              <w:t>significantly more participants exceeded 80% comprehension on both the medicine label and the patient information leaflet</w:t>
            </w:r>
            <w:r>
              <w:rPr>
                <w:rFonts w:ascii="Times New Roman" w:hAnsi="Times New Roman" w:eastAsia="바탕"/>
                <w:sz w:val="20"/>
              </w:rPr>
              <w:t xml:space="preserve"> in the group that also received pictures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One trial separated directly what has to be layered with what. In Qatar, 123 migrant workers who read neither Arabic nor English were randomised into three arms: text with verbal instruction, a pictogram-only label, and a pictogram with verbal instruction. </w:t>
            </w:r>
            <w:r>
              <w:rPr>
                <w:rFonts w:ascii="Times New Roman" w:hAnsi="Times New Roman" w:eastAsia="바탕"/>
                <w:b/>
                <w:sz w:val="20"/>
              </w:rPr>
              <w:t>The pictogram with verbal instruction did best on most of the instructions</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The arm that won is the same combination SnapCare uses. Not text with speech, and not pictures alone, but pictures with speech. The decision in §2.1 to overlay three layers is supported directly by this trial.</w:t>
            </w:r>
          </w:p>
          <w:p>
            <w:pPr>
              <w:spacing w:after="80" w:line="276" w:lineRule="auto"/>
              <w:jc w:val="both"/>
            </w:pPr>
            <w:r>
              <w:rPr>
                <w:rFonts w:ascii="Times New Roman" w:hAnsi="Times New Roman" w:eastAsia="바탕"/>
                <w:sz w:val="20"/>
              </w:rPr>
              <w:t xml:space="preserve">The result running the other way in the same study should be recorded too. "Take two tablets three times a day" and "Instill one drop in the eye" came across well, but </w:t>
            </w:r>
            <w:r>
              <w:rPr>
                <w:rFonts w:ascii="Times New Roman" w:hAnsi="Times New Roman" w:eastAsia="바탕"/>
                <w:b/>
                <w:sz w:val="20"/>
              </w:rPr>
              <w:t>"Do not take with dairy products" remained difficult even with a picture and an explanation.</w:t>
            </w:r>
            <w:r>
              <w:rPr>
                <w:rFonts w:ascii="Times New Roman" w:hAnsi="Times New Roman" w:eastAsia="바탕"/>
                <w:sz w:val="20"/>
              </w:rPr>
              <w:t xml:space="preserve"> Abstract and negative instructions are what is left over. It is the same place as the AAC respondent in §5.7 predicting that abstract concepts such as empty stomach and interaction would fail first, and as all five of the morphemes we could not improve in §5.3 being problems of concept.</w:t>
            </w:r>
          </w:p>
          <w:p>
            <w:pPr>
              <w:spacing w:after="80" w:line="276" w:lineRule="auto"/>
              <w:jc w:val="both"/>
            </w:pPr>
            <w:r>
              <w:rPr>
                <w:rFonts w:ascii="Times New Roman" w:hAnsi="Times New Roman" w:eastAsia="바탕"/>
                <w:sz w:val="20"/>
              </w:rPr>
              <w:t xml:space="preserve">There is work with a large sample as well. Showing 1,848 Lebanese adults the same prescription instructions in text alone and then with pictograms raised the comprehension score from 9.36 (±1.60) to 10.88 (±0.89), a difference of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That study also carries a result against us. </w:t>
            </w:r>
            <w:r>
              <w:rPr>
                <w:rFonts w:ascii="Times New Roman" w:hAnsi="Times New Roman" w:eastAsia="바탕"/>
                <w:b/>
                <w:sz w:val="20"/>
              </w:rPr>
              <w:t>The older the participant, the smaller the gain from the pictures</w:t>
            </w:r>
            <w:r>
              <w:rPr>
                <w:rFonts w:ascii="Times New Roman" w:hAnsi="Times New Roman" w:eastAsia="바탕"/>
                <w:sz w:val="20"/>
              </w:rPr>
              <w:t xml:space="preserve"> (Beta = −0.019, </w:t>
            </w:r>
            <w:r>
              <w:rPr>
                <w:rFonts w:ascii="Times New Roman" w:hAnsi="Times New Roman" w:eastAsia="바탕"/>
                <w:i/>
                <w:sz w:val="20"/>
              </w:rPr>
              <w:t>p</w:t>
            </w:r>
            <w:r>
              <w:rPr>
                <w:rFonts w:ascii="Times New Roman" w:hAnsi="Times New Roman" w:eastAsia="바탕"/>
                <w:sz w:val="20"/>
              </w:rPr>
              <w:t xml:space="preserve"> &lt; 0.001). Given that this app takes older adults as a main target (§1.7), that is not a figure to pass over. Professor Eun-Kyoung Kim of Kongju National University writing in §5.7 that "older people unfamiliar with images of this kind would find it harder still" is an observation in the same direction.</w:t>
            </w:r>
          </w:p>
          <w:p>
            <w:pPr>
              <w:spacing w:after="80" w:line="276" w:lineRule="auto"/>
              <w:jc w:val="both"/>
            </w:pPr>
            <w:r>
              <w:rPr>
                <w:rFonts w:ascii="Times New Roman" w:hAnsi="Times New Roman" w:eastAsia="바탕"/>
                <w:sz w:val="20"/>
              </w:rPr>
              <w:t xml:space="preserve">There is also work that pools the individual trials. Screening 4,160 records produced 54 randomised controlled trials, 42 of which were meta-analysed: pictorial health information moderately improved knowledge, understanding and recall overall, and </w:t>
            </w:r>
            <w:r>
              <w:rPr>
                <w:rFonts w:ascii="Times New Roman" w:hAnsi="Times New Roman" w:eastAsia="바탕"/>
                <w:b/>
                <w:sz w:val="20"/>
              </w:rPr>
              <w:t>largely increased knowledge and understanding in lower health literacy populations (13 studies)</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The same paper left one sentence that bears directly on our design: </w:t>
            </w:r>
            <w:r>
              <w:rPr>
                <w:rFonts w:ascii="Times New Roman" w:hAnsi="Times New Roman" w:eastAsia="바탕"/>
                <w:b/>
                <w:sz w:val="20"/>
              </w:rPr>
              <w:t>icons with few words may be most helpful</w:t>
            </w:r>
            <w:r>
              <w:rPr>
                <w:rFonts w:ascii="Times New Roman" w:hAnsi="Times New Roman" w:eastAsia="바탕"/>
                <w:sz w:val="20"/>
              </w:rPr>
              <w:t xml:space="preserve"> in conveying health information. It points the same way, independently, as the respondents in three countries who said in §5.7 that there are too many elements in one image. The authors note that heterogeneity across the outcomes was substantial and that the results should be read with caution, and we read them that way here. These figures are grounds for using pictures, not grounds for thinking any picture will do.</w:t>
            </w:r>
          </w:p>
          <w:p>
            <w:pPr>
              <w:spacing w:after="80" w:line="276" w:lineRule="auto"/>
              <w:jc w:val="both"/>
            </w:pPr>
            <w:r>
              <w:rPr>
                <w:rFonts w:ascii="Times New Roman" w:hAnsi="Times New Roman" w:eastAsia="바탕"/>
                <w:sz w:val="20"/>
              </w:rPr>
              <w:t xml:space="preserve">To summarise, this field has observed three things together. Well-made pictures do in fact reduce errors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to 5.4%). Pictures work better with speech than alone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And making them does not mean making them well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17 of 108). The first two are the reason to take this approach, and the third is the reason to measure afterwards.</w:t>
            </w:r>
          </w:p>
          <w:p>
            <w:pPr>
              <w:spacing w:after="80" w:line="276" w:lineRule="auto"/>
              <w:jc w:val="both"/>
            </w:pPr>
            <w:r>
              <w:rPr>
                <w:rFonts w:ascii="Times New Roman" w:hAnsi="Times New Roman" w:eastAsia="바탕"/>
                <w:sz w:val="20"/>
              </w:rPr>
              <w:t>One thing the field has not answered attaches to that. Mourad et al. finding that the gain from pictures shrinks with age, and Schubbe et al. finding that icons with few words help most, both ask how much we should be showing an older person and in what form. Neither answers it for our set. That is what we have to measure in the field evaluation of §5.10.</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11]</w:t>
            </w:r>
            <w:r>
              <w:rPr>
                <w:rFonts w:ascii="Times New Roman" w:hAnsi="Times New Roman" w:eastAsia="바탕"/>
                <w:color w:val="606068"/>
                <w:sz w:val="18"/>
              </w:rPr>
              <w:t xml:space="preserve"> Share of pharmaceutical pictograms passing comprehension criteria. The criterion applied differs by bar and is noted underneath each. Sharing an axis does not make these values competitors. The middle two bars are the control and experimental arms of the same study, </w:t>
            </w:r>
            <w:r>
              <w:rPr>
                <w:rFonts w:ascii="Times New Roman" w:hAnsi="Times New Roman" w:eastAsia="바탕"/>
                <w:b/>
                <w:color w:val="606068"/>
                <w:sz w:val="18"/>
              </w:rPr>
              <w:t>the result of showing two sets carrying the same instructions to the same 46 people</w:t>
            </w:r>
            <w:r>
              <w:rPr>
                <w:rFonts w:ascii="Times New Roman" w:hAnsi="Times New Roman" w:eastAsia="바탕"/>
                <w:color w:val="606068"/>
                <w:sz w:val="18"/>
              </w:rPr>
              <w:t>. Where the pictures came from splits the pass rate almost twofold. Our own value (69.2%) is the machine-scored result from §5.2 and was not obtained by asking people, so it is not directly comparable with the rest. It is placed on the same panel not to claim superiority but to show that our value falls within the range this field has observed.</w:t>
            </w:r>
          </w:p>
          <w:p>
            <w:pPr>
              <w:spacing w:after="80" w:line="276" w:lineRule="auto"/>
              <w:jc w:val="both"/>
            </w:pPr>
            <w:r>
              <w:rPr>
                <w:rFonts w:ascii="Times New Roman" w:hAnsi="Times New Roman" w:eastAsia="바탕"/>
                <w:sz w:val="20"/>
              </w:rPr>
              <w:t>Rather than close this section on the literature alone, we put the limitation to the field directly. In the survey sent to 1,103 people on 31 July 2026 (§5.7) we asked "could a patient who cannot read take their medicine correctly, alone, with only these screens, and why", and Foued Maaoui, Researcher at the Pasteur Institute of Tunis, answered:</w:t>
            </w:r>
          </w:p>
          <w:p>
            <w:pPr>
              <w:spacing w:after="40" w:line="276" w:lineRule="auto"/>
              <w:ind w:left="403"/>
            </w:pPr>
            <w:r>
              <w:rPr>
                <w:rFonts w:ascii="Times New Roman" w:hAnsi="Times New Roman" w:eastAsia="바탕"/>
                <w:i/>
                <w:color w:val="606068"/>
                <w:sz w:val="19"/>
              </w:rPr>
              <w:t>"Many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What the studies above measured and what this answer says are the same thing. It differs in having been written after looking at what we made. The pass rates in Table 6 are values for other people's sets; this is the word of someone who actually looked at the 78 morphemes of §2.2. In the same answer he singled out four of our morphemes as particularly abstract — completion, quantity, timing and prohibition — and those four are where the errors concentrate in Table 4 of §1.3. That the places most needed are the hardest is the conclusion of this section, and the literature and the survey pointed at it separately.</w:t>
            </w:r>
          </w:p>
          <w:p>
            <w:pPr>
              <w:spacing w:after="80" w:line="276" w:lineRule="auto"/>
              <w:jc w:val="both"/>
            </w:pPr>
            <w:r>
              <w:rPr>
                <w:rFonts w:ascii="Times New Roman" w:hAnsi="Times New Roman" w:eastAsia="바탕"/>
                <w:sz w:val="20"/>
              </w:rPr>
              <w:t>This is why the present work does not stop at making pictograms but designs a procedure for measuring their comprehension alongside.</w:t>
            </w:r>
          </w:p>
          <w:p>
            <w:pPr>
              <w:spacing w:before="180" w:after="40"/>
            </w:pPr>
            <w:r>
              <w:rPr>
                <w:rFonts w:ascii="Times New Roman" w:hAnsi="Times New Roman" w:eastAsia="바탕"/>
                <w:b/>
                <w:sz w:val="23"/>
              </w:rPr>
              <w:t>1.9 Structural constraints of the existing pictogram standard</w:t>
            </w:r>
          </w:p>
          <w:p>
            <w:pPr>
              <w:spacing w:after="80" w:line="276" w:lineRule="auto"/>
              <w:jc w:val="both"/>
            </w:pPr>
            <w:r>
              <w:rPr>
                <w:rFonts w:ascii="Times New Roman" w:hAnsi="Times New Roman" w:eastAsia="바탕"/>
                <w:sz w:val="20"/>
              </w:rPr>
              <w:t xml:space="preserve">The most widely used pharmaceutical pictogram standard at present is the 81-symbol set from the United States Pharmacopeia (USP). It is organised into three categories, mandatory (square), prohibition (circle with slash) and warning (inverted triangle), and USP distributes it free in GIF and EPS form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How the set arrived at its present 81 we could not confirm at a primary source. Several secondary works record a start in the 1980s and the present count reached during the 1990s, but we could not open the originals, so no years are given here. The argument of this section is not when the set was made but that it does not compose, and the grounds for that are the licence conditions below.</w:t>
            </w:r>
          </w:p>
          <w:p>
            <w:pPr>
              <w:spacing w:after="80" w:line="276" w:lineRule="auto"/>
              <w:jc w:val="both"/>
            </w:pPr>
            <w:r>
              <w:rPr>
                <w:rFonts w:ascii="Times New Roman" w:hAnsi="Times New Roman" w:eastAsia="바탕"/>
                <w:sz w:val="20"/>
              </w:rPr>
              <w:t xml:space="preserve">The limitation of this standard lies in its expressive power. A single prescription instruction such as </w:t>
            </w:r>
            <w:r>
              <w:rPr>
                <w:rFonts w:ascii="Times New Roman" w:hAnsi="Times New Roman" w:eastAsia="바탕"/>
                <w:b/>
                <w:sz w:val="20"/>
              </w:rPr>
              <w:t>"three times a day, 30 minutes after meals, keep refrigerated, contraindicated in pregnancy"</w:t>
            </w:r>
            <w:r>
              <w:rPr>
                <w:rFonts w:ascii="Times New Roman" w:hAnsi="Times New Roman" w:eastAsia="바탕"/>
                <w:sz w:val="20"/>
              </w:rPr>
              <w:t xml:space="preserve"> cannot be expressed by any one USP pictogram and can only be conveyed by listing five or six symbols.</w:t>
            </w:r>
          </w:p>
          <w:p>
            <w:pPr>
              <w:spacing w:after="80" w:line="276" w:lineRule="auto"/>
              <w:jc w:val="both"/>
            </w:pPr>
            <w:r>
              <w:rPr>
                <w:rFonts w:ascii="Times New Roman" w:hAnsi="Times New Roman" w:eastAsia="바탕"/>
                <w:sz w:val="20"/>
              </w:rPr>
              <w:t xml:space="preserve">This is an explicit constraint rather than a design shortcoming. USP grants free use subject to four conditions: that, because of the potential for misinterpretation, the pictograms are not used as the sole means of conveying information to the patient; that they are not modified or used together with symbols USP did not develop without USP's permission; that only the latest versions are used, because the pictograms are subject to change; and that a notice of USP copyright accompanies them. USP also reserves the right to withdraw permission where it judges the pictograms to be used inappropriately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The second of those conditions is what forbids composition. As long as the standard is observed, overlaying or joining symbols will remain impossible.</w:t>
            </w:r>
          </w:p>
          <w:p>
            <w:pPr>
              <w:spacing w:after="80" w:line="276" w:lineRule="auto"/>
              <w:jc w:val="both"/>
            </w:pPr>
            <w:r>
              <w:rPr>
                <w:rFonts w:ascii="Times New Roman" w:hAnsi="Times New Roman" w:eastAsia="바탕"/>
                <w:sz w:val="20"/>
              </w:rPr>
              <w:t>The first clause, by contrast, is on our side. Telling implementers not to use pictograms as the sole means of conveying information is the standard's own authors recording that one picture is not enough, and it is the same judgement behind SnapCare overlaying three layers of picture, speech and colour in §2.1. We agree with the clause and differ only in having made the secondary means something other than text.</w:t>
            </w:r>
          </w:p>
          <w:p>
            <w:pPr>
              <w:spacing w:after="80" w:line="276" w:lineRule="auto"/>
              <w:jc w:val="both"/>
            </w:pPr>
            <w:r>
              <w:rPr>
                <w:rFonts w:ascii="Times New Roman" w:hAnsi="Times New Roman" w:eastAsia="바탕"/>
                <w:sz w:val="20"/>
              </w:rPr>
              <w:t>The difference between a fixed list and a grammar is a difference of kind rather than of count. Expanding 81 symbols to 810 does not help, because the combinations of prescription instructions grow faster still, and sooner or later an instruction appears that is not on the list. A grammar moves the other way. SIGIL consists of 78 morphemes and five operators, and adding one more morpheme also creates the positions where it can combine with every existing operator and modifier. What grows is a layer of combinations rather than a single entry.</w:t>
            </w:r>
          </w:p>
          <w:p>
            <w:pPr>
              <w:spacing w:after="80" w:line="276" w:lineRule="auto"/>
              <w:jc w:val="both"/>
            </w:pPr>
            <w:r>
              <w:rPr>
                <w:rFonts w:ascii="Times New Roman" w:hAnsi="Times New Roman" w:eastAsia="바탕"/>
                <w:sz w:val="20"/>
              </w:rPr>
              <w:t>This difference can be counted. Each of the 57 heads has one slot for a modifier, and the dictionary carries no list restricting which modifiers may enter which slot. Head-and-modifier cells therefore number 57 × 21 = 1,197, and adding the 57 cells of a bare head and the four time morphemes that can stand alone gives 1,258. No negation, daily-cadence or half operator has been applied to that count. The rate of growth is plainer still. Drawing one more symbol for the USP set adds one expression; drawing one more modifier for SIGIL creates a slot alongside all 57 heads at once and adds 57. Drawing one more head adds 21.</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12]</w:t>
            </w:r>
            <w:r>
              <w:rPr>
                <w:rFonts w:ascii="Times New Roman" w:hAnsi="Times New Roman" w:eastAsia="바탕"/>
                <w:color w:val="606068"/>
                <w:sz w:val="18"/>
              </w:rPr>
              <w:t xml:space="preserve"> How a fixed list and a grammar grow. On the left, the cells each set can render today; on the right, the cells gained by drawing one more item. The right-hand panel is the point of this section. The 1,258 on the left is not a boast about size but the reason the right-hand panel looks as it does.</w:t>
            </w:r>
          </w:p>
          <w:p>
            <w:pPr>
              <w:spacing w:after="80" w:line="276" w:lineRule="auto"/>
              <w:jc w:val="both"/>
            </w:pPr>
            <w:r>
              <w:rPr>
                <w:rFonts w:ascii="Times New Roman" w:hAnsi="Times New Roman" w:eastAsia="바탕"/>
                <w:sz w:val="20"/>
              </w:rPr>
              <w:t xml:space="preserve">Two things should be set down so that 1,258 is not read in our favour. First, we have not counted how many of them mean anything. The grammar does not stop </w:t>
            </w:r>
            <w:r>
              <w:rPr>
                <w:rFonts w:ascii="Consolas" w:hAnsi="Consolas" w:eastAsia="Consolas"/>
                <w:sz w:val="19"/>
              </w:rPr>
              <w:t>\bandage{allergen_peanut}</w:t>
            </w:r>
            <w:r>
              <w:rPr>
                <w:rFonts w:ascii="Times New Roman" w:hAnsi="Times New Roman" w:eastAsia="바탕"/>
                <w:sz w:val="20"/>
              </w:rPr>
              <w:t>, and that picture says nothing at all. What a grammar guarantees is that a combination is well formed, not that the combination means something, and filtering for meaning is the job of the semantic check in §5.2. Second, the 81 USP symbols are a set validated by asking people, and our 1,258 are not. The two numbers were not measured with the same instrument. What this figure says is not that our set is better but that the two approaches grow in different ways.</w:t>
            </w:r>
          </w:p>
          <w:p>
            <w:pPr>
              <w:spacing w:after="80" w:line="276" w:lineRule="auto"/>
              <w:jc w:val="both"/>
            </w:pPr>
            <w:r>
              <w:rPr>
                <w:rFonts w:ascii="Times New Roman" w:hAnsi="Times New Roman" w:eastAsia="바탕"/>
                <w:sz w:val="20"/>
              </w:rPr>
              <w:t>Where this difference actually shows is in the part that records concepts the app could not build (step 4 in §5.10). With a fixed list, meeting a picture that does not exist is the end of it, whereas with a grammar what was missing remains at the level of the morpheme, which settles what to add next.</w:t>
            </w:r>
          </w:p>
          <w:p>
            <w:pPr>
              <w:spacing w:after="80" w:line="276" w:lineRule="auto"/>
              <w:jc w:val="both"/>
            </w:pPr>
            <w:r>
              <w:rPr>
                <w:rFonts w:ascii="Times New Roman" w:hAnsi="Times New Roman" w:eastAsia="바탕"/>
                <w:sz w:val="20"/>
              </w:rPr>
              <w:t>That comprehension varies by culture and that culturally adapted versions are needed is already shown in Table 6.</w:t>
            </w:r>
          </w:p>
          <w:p>
            <w:pPr>
              <w:spacing w:after="80" w:line="276" w:lineRule="auto"/>
              <w:jc w:val="both"/>
            </w:pPr>
            <w:r>
              <w:rPr>
                <w:rFonts w:ascii="Times New Roman" w:hAnsi="Times New Roman" w:eastAsia="바탕"/>
                <w:sz w:val="20"/>
              </w:rPr>
              <w:t>An answer against this section's conclusion came out of our survey, so it is set down as written. At the end of the survey we left open "anything you would add that we did not ask", and Professor Atif Usman of The Islamia University of Bahawalpur in Pakistan wrote in that box:</w:t>
            </w:r>
          </w:p>
          <w:p>
            <w:pPr>
              <w:spacing w:after="40" w:line="276" w:lineRule="auto"/>
              <w:ind w:left="403"/>
            </w:pPr>
            <w:r>
              <w:rPr>
                <w:rFonts w:ascii="Times New Roman" w:hAnsi="Times New Roman" w:eastAsia="바탕"/>
                <w:i/>
                <w:color w:val="606068"/>
                <w:sz w:val="19"/>
              </w:rPr>
              <w:t>"Also, refer to USP pictograms instead of developing a new set. You can definitely develop your own when and if these are not available elsewhere to suit your local context."</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This whole section argues why a new set has to be made, and the answer from the field is not to. Our reply is the second licence condition set out above: USP forbids overlaying or joining symbols, so there is no way to build one compound instruction into one picture while observing the standard. But the answer cannot be called wrong. For an instruction that needs no composition, using USP is right, and among our 78 the ones that stand alone could indeed have been replaced by USP. We built the whole set new because we did not want to mix composable and non-composable symbols inside one set, and that is a judgement rather than a necessity.</w:t>
            </w:r>
          </w:p>
          <w:p>
            <w:pPr>
              <w:spacing w:before="180" w:after="40"/>
            </w:pPr>
            <w:r>
              <w:rPr>
                <w:rFonts w:ascii="Times New Roman" w:hAnsi="Times New Roman" w:eastAsia="바탕"/>
                <w:b/>
                <w:sz w:val="23"/>
              </w:rPr>
              <w:t>1.10 Prior work on interfaces for low-literate users</w:t>
            </w:r>
          </w:p>
          <w:p>
            <w:pPr>
              <w:spacing w:after="80" w:line="276" w:lineRule="auto"/>
              <w:jc w:val="both"/>
            </w:pPr>
            <w:r>
              <w:rPr>
                <w:rFonts w:ascii="Times New Roman" w:hAnsi="Times New Roman" w:eastAsia="바탕"/>
                <w:sz w:val="20"/>
              </w:rPr>
              <w:t>Research on interfaces for low-literate users shows that removing text is a necessary condition rather than a sufficient one.</w:t>
            </w:r>
          </w:p>
          <w:p>
            <w:pPr>
              <w:spacing w:after="80" w:line="276" w:lineRule="auto"/>
              <w:jc w:val="both"/>
            </w:pPr>
            <w:r>
              <w:rPr>
                <w:rFonts w:ascii="Times New Roman" w:hAnsi="Times New Roman" w:eastAsia="바탕"/>
                <w:sz w:val="20"/>
              </w:rPr>
              <w:t xml:space="preserve">Medhi et al. built a text-free interface through ethnographic design with non-literate domestic workers in a Bangalore slum, with the criterion that it be "usable without anyone's intervention"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That criterion means creating no step that requires explanation.</w:t>
            </w:r>
          </w:p>
          <w:p>
            <w:pPr>
              <w:spacing w:after="80" w:line="276" w:lineRule="auto"/>
              <w:jc w:val="both"/>
            </w:pPr>
            <w:r>
              <w:rPr>
                <w:rFonts w:ascii="Times New Roman" w:hAnsi="Times New Roman" w:eastAsia="바탕"/>
                <w:sz w:val="20"/>
              </w:rPr>
              <w:t xml:space="preserve">Follow-up work surveying 400 low-literate, low-income people in India, the Philippines and South Africa found the barriers to include cognitive difficulty, cultural etiquette, prior exposure, intimidation, mediation, motivation, cost, power relations and social standing as well as literacy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A structural problem was confirmed as well. In an experiment asking 20 non-literate adults in a Bangalore slum to find 5 items out of 40 on a touchscreen phone, a multi-page list spread over 7 pages took 25 seconds on average while a hierarchy 4 levels deep took 65.5 seconds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Accuracy also split, at 100% for the list against 80% for the hierarchy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Another group found the same failure on a different task. In a study asking 10 patients with stage 5 chronic kidney disease (three at or below third grade on the REALM test, three at seventh to eighth grade, four at or above ninth grade) to estimate food portions on a handheld device, all ten succeeded with liquids and eight of ten with amorphous foods, but </w:t>
            </w:r>
            <w:r>
              <w:rPr>
                <w:rFonts w:ascii="Times New Roman" w:hAnsi="Times New Roman" w:eastAsia="바탕"/>
                <w:b/>
                <w:sz w:val="20"/>
              </w:rPr>
              <w:t>not one succeeded on the screen for measuring solid food.</w:t>
            </w:r>
            <w:r>
              <w:rPr>
                <w:rFonts w:ascii="Times New Roman" w:hAnsi="Times New Roman" w:eastAsia="바탕"/>
                <w:sz w:val="20"/>
              </w:rPr>
              <w:t xml:space="preserve"> What the authors observed was that participants could not decide which image to select and kept forgetting which dimension they had already measured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Different task, different group, same reason for failing. The screen asked the user to hold something in their head. In the earlier study it was how far down they had gone; here it is which dimension they had already measured. SnapCare removed the steps not to reduce the number of screens but to remove that demand.</w:t>
            </w:r>
          </w:p>
          <w:p>
            <w:pPr>
              <w:spacing w:after="80" w:line="276" w:lineRule="auto"/>
              <w:jc w:val="both"/>
            </w:pPr>
            <w:r>
              <w:rPr>
                <w:rFonts w:ascii="Times New Roman" w:hAnsi="Times New Roman" w:eastAsia="바탕"/>
                <w:sz w:val="20"/>
              </w:rPr>
              <w:t>If those two studies concern structure inside the screen, one response in §5.7 points at what happens before the screen is reached. Professor Namsoo Park of Hyupsung University wrote that how well people who cannot read handle a mobile device has to be examined first, giving as an example that this app's profile-setup screen carries the instruction "select any that apply to you". Anyone who cannot read that instruction is stopped at that screen.</w:t>
            </w:r>
          </w:p>
          <w:p>
            <w:pPr>
              <w:spacing w:after="80" w:line="276" w:lineRule="auto"/>
              <w:jc w:val="both"/>
            </w:pPr>
            <w:r>
              <w:rPr>
                <w:rFonts w:ascii="Times New Roman" w:hAnsi="Times New Roman" w:eastAsia="바탕"/>
                <w:sz w:val="20"/>
              </w:rPr>
              <w:t>The opening sentence of this section, that removing text is a necessary condition, is confirmed once more here. We wrote that text had been removed from the path to a verdict (§2.1), and text was still sitting on the setup screen before it. The survey found for us that what we decided to remove and what we actually removed were different.</w:t>
            </w:r>
          </w:p>
          <w:p>
            <w:pPr>
              <w:spacing w:after="80" w:line="276" w:lineRule="auto"/>
              <w:jc w:val="both"/>
            </w:pPr>
            <w:r>
              <w:rPr>
                <w:rFonts w:ascii="Times New Roman" w:hAnsi="Times New Roman" w:eastAsia="바탕"/>
                <w:sz w:val="20"/>
              </w:rPr>
              <w:t xml:space="preserve">Work from another group belongs here too. A study built a multimedia patient-reported outcomes measure for low-literacy patients through human-centred design, with 17 adults (12 patients, 3 caregivers, 2 clinic staff), 46% of whom scored as low literacy on REALM-SF. Six features went in: audio narration on every question, animations showing the task being asked about, icons that switch the multimedia on and off, gender-neutral and ethnically diverse avatars, a progress indicator, and an illustrated response scale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That study parts from us at two points. First, the authors divided users by literacy into three (non-literate, slow reader, literate). It is the same kind of judgement Associate Professor Hangil Lee asked for in §1.5 when he separated total blindness, low vision and low literacy, and we designed for those three as one. Second, the authors made the multimedia switchable by icon, so that higher-literacy users pass it by and only lower-literacy users receive it, whereas this app sends the speech to everyone (§3.5). Which is right, neither that study nor ours settled by asking people.</w:t>
            </w:r>
          </w:p>
          <w:p>
            <w:pPr>
              <w:spacing w:after="80" w:line="276" w:lineRule="auto"/>
              <w:jc w:val="both"/>
            </w:pPr>
            <w:r>
              <w:rPr>
                <w:rFonts w:ascii="Times New Roman" w:hAnsi="Times New Roman" w:eastAsia="바탕"/>
                <w:sz w:val="20"/>
              </w:rPr>
              <w:t>What the same literature records about icons is set down as well: icons are often semantically opaque to low-literacy users, abstract symbols in particular fail to cross cultural and literacy barriers, and users prefer concrete, photorealistic representations to stylised glyphs. The last of those runs directly against our design. The set in §2.2 is a black-and-white silhouette, chosen so that it survives at 32 pixels (§5.2). Surviving and being preferred may not point the same way, and that divergence is an item for the field evaluation of §5.10.</w:t>
            </w:r>
          </w:p>
          <w:p>
            <w:pPr>
              <w:spacing w:after="80" w:line="276" w:lineRule="auto"/>
              <w:jc w:val="both"/>
            </w:pPr>
            <w:r>
              <w:rPr>
                <w:rFonts w:ascii="Times New Roman" w:hAnsi="Times New Roman" w:eastAsia="바탕"/>
                <w:sz w:val="20"/>
              </w:rPr>
              <w:t>The authors locate the cause in the understanding of nesting itself. Some participants did not grasp that a higher-level picture in the hierarchy stood for a bundle of items beneath it, and some could not remember how to return upward after entering the wrong branch. Turning pages was not itself the problem. The problem is having to hold in mind how far down one has gone.</w:t>
            </w:r>
          </w:p>
          <w:p>
            <w:pPr>
              <w:spacing w:after="80" w:line="276" w:lineRule="auto"/>
              <w:jc w:val="both"/>
            </w:pPr>
            <w:r>
              <w:rPr>
                <w:rFonts w:ascii="Times New Roman" w:hAnsi="Times New Roman" w:eastAsia="바탕"/>
                <w:sz w:val="20"/>
              </w:rPr>
              <w:t>All of this prior work is other people's making, measured by other people. To hear the same thing said about ours, the survey asked "where it could be misread", and Yonghan Lee, Senior Manager at the Korea Craft and Design Foundation, answered:</w:t>
            </w:r>
          </w:p>
          <w:p>
            <w:pPr>
              <w:spacing w:after="40" w:line="276" w:lineRule="auto"/>
              <w:ind w:left="403"/>
            </w:pPr>
            <w:r>
              <w:rPr>
                <w:rFonts w:ascii="Times New Roman" w:hAnsi="Times New Roman" w:eastAsia="바탕"/>
                <w:i/>
                <w:color w:val="606068"/>
                <w:sz w:val="19"/>
              </w:rPr>
              <w:t>"The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80" w:line="276" w:lineRule="auto"/>
              <w:jc w:val="both"/>
            </w:pPr>
            <w:r>
              <w:rPr>
                <w:rFonts w:ascii="Times New Roman" w:hAnsi="Times New Roman" w:eastAsia="바탕"/>
                <w:sz w:val="20"/>
              </w:rPr>
              <w:t xml:space="preserve">Where the papers above say "they do not grasp the hierarchy", this answer goes one step more concrete. It names which picture fails to read and why, and offers the alternative. We took the point in §5.2 and redrew </w:t>
            </w:r>
            <w:r>
              <w:rPr>
                <w:rFonts w:ascii="Consolas" w:hAnsi="Consolas" w:eastAsia="Consolas"/>
                <w:sz w:val="19"/>
              </w:rPr>
              <w:t>hand_wash</w:t>
            </w:r>
            <w:r>
              <w:rPr>
                <w:rFonts w:ascii="Times New Roman" w:hAnsi="Times New Roman" w:eastAsia="바탕"/>
                <w:sz w:val="20"/>
              </w:rPr>
              <w:t>, one of the two responses in §5.7 that actually changed a picture. What the prior work told us was where to be careful; what the survey told us was what to fix.</w:t>
            </w:r>
          </w:p>
          <w:p>
            <w:pPr>
              <w:spacing w:before="180" w:after="40"/>
            </w:pPr>
            <w:r>
              <w:rPr>
                <w:rFonts w:ascii="Times New Roman" w:hAnsi="Times New Roman" w:eastAsia="바탕"/>
                <w:b/>
                <w:sz w:val="23"/>
              </w:rPr>
              <w:t>1.11 The problem in summary</w:t>
            </w:r>
          </w:p>
          <w:p>
            <w:pPr>
              <w:spacing w:after="80" w:line="276" w:lineRule="auto"/>
              <w:jc w:val="both"/>
            </w:pPr>
            <w:r>
              <w:rPr>
                <w:rFonts w:ascii="Times New Roman" w:hAnsi="Times New Roman" w:eastAsia="바탕"/>
                <w:sz w:val="20"/>
              </w:rPr>
              <w:t>The discussion so far comes to five points.</w:t>
            </w:r>
          </w:p>
          <w:p>
            <w:pPr>
              <w:spacing w:after="80" w:line="276" w:lineRule="auto"/>
              <w:jc w:val="both"/>
            </w:pPr>
            <w:r>
              <w:rPr>
                <w:rFonts w:ascii="Times New Roman" w:hAnsi="Times New Roman" w:eastAsia="바탕"/>
                <w:sz w:val="20"/>
              </w:rPr>
              <w:t xml:space="preserve">First, scale. There are 739 million non-literate adults, and in some regions the absolute number is rising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Applying a health literacy criterion widens the target further. Health literacy is not sufficient for 39.6% of Korean adults and 59.7% of those aged 65 and over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Second, cost. Medication errors generate 42 billion dollars a year in costs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and in 2019 deaths directly attributable to bacterial antimicrobial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In 2023 data, one in six laboratory-confirmed bacterial infections showed resistance to antibiotics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Third, the effect and the limits of visual methods. Pictures are remembered better than text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yet of 108 pharmaceutical pictograms actually produced only 17 passed the ANSI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Fourth, the structural constraint of the standard. The 81 USP symbols are prohibited from being combined, so a compound instruction cannot be made into a single picture (USP Pictogram Library License Agreement).</w:t>
            </w:r>
          </w:p>
          <w:p>
            <w:pPr>
              <w:spacing w:after="80" w:line="276" w:lineRule="auto"/>
              <w:jc w:val="both"/>
            </w:pPr>
            <w:r>
              <w:rPr>
                <w:rFonts w:ascii="Times New Roman" w:hAnsi="Times New Roman" w:eastAsia="바탕"/>
                <w:sz w:val="20"/>
              </w:rPr>
              <w:t xml:space="preserve">Fifth, an open delivery channel. Seventy-eight percent of United States adults aged 65 and over already own a smartphone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These five point to one conclusion. What is needed is an integrated pipeline that runs automatically from a prescription through to pictograms and speech, that measures whether the result is actually read, and that never requires text.</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13]</w:t>
            </w:r>
            <w:r>
              <w:rPr>
                <w:rFonts w:ascii="Times New Roman" w:hAnsi="Times New Roman" w:eastAsia="바탕"/>
                <w:color w:val="606068"/>
                <w:sz w:val="18"/>
              </w:rPr>
              <w:t xml:space="preserve"> The five strands of chapter 1 and the three things they point to. Every number on the left is quoted exactly as it appears in the preceding sections, and nothing new is claimed here. All this figure does is put in one frame the fact that the five point at the same place. Two of the five on the left are drawn with a heavier border: the cost of the problem and the channel that is already open. The first is the reason to take the problem on, the second the reason it can be taken on now. The red line beneath it is what this section is careful about.</w:t>
            </w:r>
          </w:p>
          <w:p>
            <w:pPr>
              <w:spacing w:after="80" w:line="276" w:lineRule="auto"/>
              <w:jc w:val="both"/>
            </w:pPr>
            <w:r>
              <w:rPr>
                <w:rFonts w:ascii="Times New Roman" w:hAnsi="Times New Roman" w:eastAsia="바탕"/>
                <w:sz w:val="20"/>
              </w:rPr>
              <w:t>Having set out these five strands, we put them to the field. The survey in §5.7 is that, and the result broadly confirmed the five. What differed was how they were confirmed.</w:t>
            </w:r>
          </w:p>
          <w:p>
            <w:pPr>
              <w:spacing w:after="80" w:line="276" w:lineRule="auto"/>
              <w:jc w:val="both"/>
            </w:pPr>
            <w:r>
              <w:rPr>
                <w:rFonts w:ascii="Times New Roman" w:hAnsi="Times New Roman" w:eastAsia="바탕"/>
                <w:sz w:val="20"/>
              </w:rPr>
              <w:t>Scale, the first, the respondents rated lower rather than higher: 18 of 39 answered that they almost never meet such a patient. The visual route, the third, was supported but with a condition attached, namely that pictures help in the low-literacy case and that total blindness and low vision are different layers. On the constraint of the standard, the fourth, two respondents recommended consulting existing sets, which are the very sets §1.9 records as unusable by us. The delivery channel, the fifth, was said to fail at managing the device rather than at owning one.</w:t>
            </w:r>
          </w:p>
          <w:p>
            <w:pPr>
              <w:spacing w:after="80" w:line="276" w:lineRule="auto"/>
              <w:jc w:val="both"/>
            </w:pPr>
            <w:r>
              <w:rPr>
                <w:rFonts w:ascii="Times New Roman" w:hAnsi="Times New Roman" w:eastAsia="바탕"/>
                <w:sz w:val="20"/>
              </w:rPr>
              <w:t>What came up most often was not in the five strands at all. Six respondents independently raised the absence of validation with people, and four of the five who answered the broad question across the five segments chose it as the first thing to resolve. The five strands we used to define the problem all come from the literature, and this finding says that between that literature and our set there is still nothing.</w:t>
            </w:r>
          </w:p>
          <w:p>
            <w:pPr>
              <w:spacing w:after="80" w:line="276" w:lineRule="auto"/>
              <w:jc w:val="both"/>
            </w:pPr>
            <w:r>
              <w:rPr>
                <w:rFonts w:ascii="Times New Roman" w:hAnsi="Times New Roman" w:eastAsia="바탕"/>
                <w:sz w:val="20"/>
              </w:rPr>
              <w:t>We set the evidence this chapter used side by side, by which direction it points. The column that cuts against is the longer one.</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14]</w:t>
            </w:r>
            <w:r>
              <w:rPr>
                <w:rFonts w:ascii="Times New Roman" w:hAnsi="Times New Roman" w:eastAsia="바탕"/>
                <w:color w:val="606068"/>
                <w:sz w:val="18"/>
              </w:rPr>
              <w:t xml:space="preserve"> Evidence that supports this approach and evidence that cuts against it. The section number after each item leads to the full citation. The unfavourable column has seven entries to the other's five, and not shortening it is this chapter's method. Two rows on the right are heavy. That the centre of gravity of harm sits at the prescribing stage names the place this app does not intervene, and §1.4 records why we chose the patient stage even so. The last row aims at the form of our own set: low-literacy users are observed to prefer photorealistic images to silhouettes, whereas we chose a black-and-white silhouette so that it survives at 32 pixels (§5.2). Surviving and being preferred may not point the same way. The reason for setting the evidence out this way is that collecting only the favourable half would mean doing to the literature what §5.2 refuses to do to the morphemes.</w:t>
            </w:r>
          </w:p>
          <w:p>
            <w:pPr>
              <w:spacing w:after="80" w:line="276" w:lineRule="auto"/>
              <w:jc w:val="both"/>
            </w:pPr>
            <w:r>
              <w:rPr>
                <w:rFonts w:ascii="Times New Roman" w:hAnsi="Times New Roman" w:eastAsia="바탕"/>
                <w:sz w:val="20"/>
              </w:rPr>
              <w:t>Within the range we searched, no system had all three. Pictogram sets exist but do not combine (§1.9), work addressing combination does not measure comprehension before release, and the studies that did measure comprehension (Table 4) assembled people and measured after the fact once the set was built. This is an observation from the range we looked over while preparing this work rather than the result of a systematic review, so it should be read as "we did not find one" rather than "there is none." This is SnapCare's starting point.</w:t>
            </w:r>
          </w:p>
          <w:p>
            <w:pPr>
              <w:spacing w:after="80" w:line="276" w:lineRule="auto"/>
              <w:jc w:val="both"/>
            </w:pPr>
            <w:r>
              <w:rPr>
                <w:rFonts w:ascii="Times New Roman" w:hAnsi="Times New Roman" w:eastAsia="바탕"/>
                <w:sz w:val="20"/>
              </w:rPr>
              <w:t>Putting these three to the survey brought agreement on the direction with a condition attached. Asked whether a patient who cannot read could take their medicine correctly with only these screens, Myojung Choi, Researcher at the Korea Disabled People's Development Institute, answered:</w:t>
            </w:r>
          </w:p>
          <w:p>
            <w:pPr>
              <w:spacing w:after="40" w:line="276" w:lineRule="auto"/>
              <w:ind w:left="403"/>
            </w:pPr>
            <w:r>
              <w:rPr>
                <w:rFonts w:ascii="Times New Roman" w:hAnsi="Times New Roman" w:eastAsia="바탕"/>
                <w:i/>
                <w:color w:val="606068"/>
                <w:sz w:val="19"/>
              </w:rPr>
              <w:t>"Presenting information on a multi-channel cognitive basis, combining pictogram and sound, seems the right direction. Where one pictogram contains a lot of information, however, clarity of perception can fall, so it needs simplifying around the core information."</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first sentence supports the third of the three above, delivery that does not demand text; the second collides head-on with the first, composition. We set as our conclusion that one instruction should become one picture, and doing so increases what one picture has to carry. The gain from composition and clarity of perception are two ends of one axis, and our design picks a point on that axis rather than getting both.</w:t>
            </w:r>
          </w:p>
          <w:p>
            <w:pPr>
              <w:spacing w:after="80" w:line="276" w:lineRule="auto"/>
              <w:jc w:val="both"/>
            </w:pPr>
            <w:r>
              <w:rPr>
                <w:rFonts w:ascii="Times New Roman" w:hAnsi="Times New Roman" w:eastAsia="바탕"/>
                <w:sz w:val="20"/>
              </w:rPr>
              <w:t>How far that tension can be carried is the ceiling of this approach. §2.2 restricts the grammar so that a head takes only one modifier, which stops a picture growing heavy, and the machine evaluation of §5.2 measures whether pictures built that way are read. Where clarity breaks down, though, can only be learned by asking people, and that remains in §5.10.</w:t>
            </w:r>
          </w:p>
          <w:p>
            <w:pPr>
              <w:spacing w:before="180" w:after="40"/>
            </w:pPr>
            <w:r>
              <w:rPr>
                <w:rFonts w:ascii="Times New Roman" w:hAnsi="Times New Roman" w:eastAsia="바탕"/>
                <w:b/>
                <w:sz w:val="23"/>
              </w:rPr>
              <w:t>1.12 How this problem looks in our own two countries</w:t>
            </w:r>
          </w:p>
          <w:p>
            <w:pPr>
              <w:spacing w:after="80" w:line="276" w:lineRule="auto"/>
              <w:jc w:val="both"/>
            </w:pPr>
            <w:r>
              <w:rPr>
                <w:rFonts w:ascii="Times New Roman" w:hAnsi="Times New Roman" w:eastAsia="바탕"/>
                <w:sz w:val="20"/>
              </w:rPr>
              <w:t>The five strands above were counted against the world. This team comes from Korea and Moldova, so they are read again against those two countries, and because the contest form asks how the problem bears on our own school and community.</w:t>
            </w:r>
          </w:p>
          <w:p>
            <w:pPr>
              <w:spacing w:after="80" w:line="276" w:lineRule="auto"/>
              <w:jc w:val="both"/>
            </w:pPr>
            <w:r>
              <w:rPr>
                <w:rFonts w:ascii="Times New Roman" w:hAnsi="Times New Roman" w:eastAsia="바탕"/>
                <w:sz w:val="20"/>
              </w:rPr>
              <w:t>In Korea what characterises this problem is not its size but its invisibility. Adult literacy is effectively close to 100%, so the phrase "people who cannot read" does not land. Yet the Korea Disease Control and Prevention Agency data cited in §1.2 says 39.6% of adults do not have sufficient health literacy, and 59.7% among those aged 65 and over. The distance between reading letters and understanding a dosing instruction opens that wide inside a single country.</w:t>
            </w:r>
          </w:p>
          <w:p>
            <w:pPr>
              <w:spacing w:after="80" w:line="276" w:lineRule="auto"/>
              <w:jc w:val="both"/>
            </w:pPr>
            <w:r>
              <w:rPr>
                <w:rFonts w:ascii="Times New Roman" w:hAnsi="Times New Roman" w:eastAsia="바탕"/>
                <w:sz w:val="20"/>
              </w:rPr>
              <w:t>Our own survey produced the evidence that it goes unseen. Of the 39 respondents in §5.7, 18 answered that they almost never meet such a patient. One wrote:</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We take that answer as counter-evidence. If national statistics say 39.6% while nearly half of practitioners say they do not meet them, one of the two does not mean there is no problem; it means the problem does not surface in the consulting room. That people who cannot read do not say so is something the prior work cited in §1.10 already observed, and our survey showed it again.</w:t>
            </w:r>
          </w:p>
          <w:p>
            <w:pPr>
              <w:spacing w:after="80" w:line="276" w:lineRule="auto"/>
              <w:jc w:val="both"/>
            </w:pPr>
            <w:r>
              <w:rPr>
                <w:rFonts w:ascii="Times New Roman" w:hAnsi="Times New Roman" w:eastAsia="바탕"/>
                <w:sz w:val="20"/>
              </w:rPr>
              <w:t>The same judgement came once more from a different segment. Asked whether this approach frames the problem correctly, Seunghoon Jung of the Korea Institute of Design Promotion answered:</w:t>
            </w:r>
          </w:p>
          <w:p>
            <w:pPr>
              <w:spacing w:after="40" w:line="276" w:lineRule="auto"/>
              <w:ind w:left="403"/>
            </w:pPr>
            <w:r>
              <w:rPr>
                <w:rFonts w:ascii="Times New Roman" w:hAnsi="Times New Roman" w:eastAsia="바탕"/>
                <w:i/>
                <w:color w:val="606068"/>
                <w:sz w:val="19"/>
              </w:rPr>
              <w:t>"In Korea I do not think there are many adults whose literacy is low enough that they cannot understand Hangul."</w:t>
            </w:r>
          </w:p>
          <w:p>
            <w:pPr>
              <w:spacing w:after="180" w:line="276" w:lineRule="auto"/>
              <w:ind w:left="403"/>
            </w:pPr>
            <w:r>
              <w:rPr>
                <w:rFonts w:ascii="Times New Roman" w:hAnsi="Times New Roman" w:eastAsia="바탕"/>
                <w:i w:val="0"/>
                <w:color w:val="606068"/>
                <w:sz w:val="19"/>
              </w:rPr>
              <w:t>(Seunghoon Jung, Korea Institute of Design Promotion)</w:t>
            </w:r>
          </w:p>
          <w:p>
            <w:pPr>
              <w:spacing w:after="80" w:line="276" w:lineRule="auto"/>
              <w:jc w:val="both"/>
            </w:pPr>
            <w:r>
              <w:rPr>
                <w:rFonts w:ascii="Times New Roman" w:hAnsi="Times New Roman" w:eastAsia="바탕"/>
                <w:sz w:val="20"/>
              </w:rPr>
              <w:t>That the same thing is said from two different positions, pharmacy practice and design, strengthens this section's argument rather than weakening it, because it means this is not one person's impression but common sense widely shared in Korea. The only way that common sense and the national figure of 39.6% can both be true is if reading letters and understanding a dosing instruction are different things, and that gap is where this app stands.</w:t>
            </w:r>
          </w:p>
          <w:p>
            <w:pPr>
              <w:spacing w:after="80" w:line="276" w:lineRule="auto"/>
              <w:jc w:val="both"/>
            </w:pPr>
            <w:r>
              <w:rPr>
                <w:rFonts w:ascii="Times New Roman" w:hAnsi="Times New Roman" w:eastAsia="바탕"/>
                <w:sz w:val="20"/>
              </w:rPr>
              <w:t xml:space="preserve">In Moldova the shape is different. The population is projected to fall by 31% by 2060, the median age to rise from 38 to 47, and the share of older people to more than double to 27%. The disease burden is concentrated in noncommunicable disease, and between 2008 and 2015 diabetes prevalence rose 75% and circulatory disease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It is a country where the number of people taking several medicines over a long period is rising fast, and with it the number handling those medicines alone at home.</w:t>
            </w:r>
          </w:p>
          <w:p>
            <w:pPr>
              <w:spacing w:after="80" w:line="276" w:lineRule="auto"/>
              <w:jc w:val="both"/>
            </w:pPr>
            <w:r>
              <w:rPr>
                <w:rFonts w:ascii="Times New Roman" w:hAnsi="Times New Roman" w:eastAsia="바탕"/>
                <w:sz w:val="20"/>
              </w:rPr>
              <w:t>Placed side by side, the two make the target of this app plain. In Korea it is a problem that exists but is not seen; in Moldova it is a problem that is going to grow. The first needs a route that reaches the people the consulting room missed; the second needs a tool that scales without adding staff. A design in which one photograph produces a picture and a spoken sentence, computed on the device, treats both the same way.</w:t>
            </w:r>
          </w:p>
          <w:p>
            <w:pPr>
              <w:spacing w:after="80" w:line="276" w:lineRule="auto"/>
              <w:jc w:val="both"/>
            </w:pPr>
            <w:r>
              <w:rPr>
                <w:rFonts w:ascii="Times New Roman" w:hAnsi="Times New Roman" w:eastAsia="바탕"/>
                <w:sz w:val="20"/>
              </w:rPr>
              <w:t>A limit belongs here. We could not find data measuring the relationship between health literacy and primary care use inside Moldova itself. What §1.5 cites is a study of 170 Moldovan migrant women living in Padua, Italy, and being a migrant sample it cannot be carried across to the population inside Moldova. Confirming it in Moldova is part of the field evaluation in §5.10.</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Design principle</w:t>
            </w:r>
          </w:p>
          <w:p>
            <w:pPr>
              <w:spacing w:after="80" w:line="276" w:lineRule="auto"/>
              <w:jc w:val="both"/>
            </w:pPr>
            <w:r>
              <w:rPr>
                <w:rFonts w:ascii="Times New Roman" w:hAnsi="Times New Roman" w:eastAsia="바탕"/>
                <w:sz w:val="20"/>
              </w:rPr>
              <w:t>SnapCare has one design principle. At no point on the path by which a user arrives at a judgement are they required to read or type.</w:t>
            </w:r>
          </w:p>
          <w:p>
            <w:pPr>
              <w:spacing w:after="80" w:line="276" w:lineRule="auto"/>
              <w:jc w:val="both"/>
            </w:pPr>
            <w:r>
              <w:rPr>
                <w:rFonts w:ascii="Times New Roman" w:hAnsi="Times New Roman" w:eastAsia="바탕"/>
                <w:sz w:val="20"/>
              </w:rPr>
              <w:t xml:space="preserve">The principle follows from two facts established in the previous section. First, removing text is a necessary condition. For someone who cannot read a prescription, a text interface is no different from the paper one. Second, removing text is not sufficient. Pictures too can fail to be read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and a hierarchy is itself a barrier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SnapCare therefore answers in three layers. What to do is carried by a picture, what that picture means is carried by speech, and whether this is safe or dangerous right now is carried by a single colour. The three layers overlap rather than substitute for one another. Someone who does not recognise the picture still has the speech, and where the speech cannot be heard the colour remains.</w:t>
            </w:r>
          </w:p>
          <w:p>
            <w:pPr>
              <w:spacing w:after="80" w:line="276" w:lineRule="auto"/>
              <w:jc w:val="both"/>
            </w:pPr>
            <w:r>
              <w:rPr>
                <w:rFonts w:ascii="Times New Roman" w:hAnsi="Times New Roman" w:eastAsia="바탕"/>
                <w:sz w:val="20"/>
              </w:rPr>
              <w:t>The reason the three layers were not collapsed into one is as follows. One could argue that speech alone is enough, and spoken guidance is indeed the most common approach in this field. Speech cannot be held in place, though. Once it has passed it has to be replayed, and the act of replaying is exactly the barrier the interactive voice response research cited in §1.10 identified. A picture stays on the screen and can be looked at again any number of times, and a colour has already been delivered the moment the eye meets the screen. The three layers put out the same meaning on three timescales: colour immediately, the picture for as long as it stays, speech once through and again if needed.</w:t>
            </w:r>
          </w:p>
          <w:p>
            <w:pPr>
              <w:spacing w:after="80" w:line="276" w:lineRule="auto"/>
              <w:jc w:val="both"/>
            </w:pPr>
            <w:r>
              <w:rPr>
                <w:rFonts w:ascii="Times New Roman" w:hAnsi="Times New Roman" w:eastAsia="바탕"/>
                <w:sz w:val="20"/>
              </w:rPr>
              <w:t>The only action the user performs is taking a photograph.</w:t>
            </w:r>
          </w:p>
          <w:p>
            <w:pPr>
              <w:spacing w:before="160" w:after="60"/>
              <w:jc w:val="center"/>
            </w:pPr>
            <w:r>
              <w:drawing>
                <wp:inline xmlns:a="http://schemas.openxmlformats.org/drawingml/2006/main" xmlns:pic="http://schemas.openxmlformats.org/drawingml/2006/picture">
                  <wp:extent cx="1635853"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1635853"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15]</w:t>
            </w:r>
            <w:r>
              <w:rPr>
                <w:rFonts w:ascii="Times New Roman" w:hAnsi="Times New Roman" w:eastAsia="바탕"/>
                <w:color w:val="606068"/>
                <w:sz w:val="18"/>
              </w:rPr>
              <w:t xml:space="preserve"> The whole home screen. Above the red line is what is visible without scrolling; below it is veiled. What is actually met on opening the app is the part above the line. The largest element on it is a single capture button, and there is no menu and no search box. Having only one choice is the response to the hierarchy barrier established in §1.10.</w:t>
            </w:r>
          </w:p>
          <w:p>
            <w:pPr>
              <w:spacing w:after="80" w:line="276" w:lineRule="auto"/>
              <w:jc w:val="both"/>
            </w:pPr>
            <w:r>
              <w:rPr>
                <w:rFonts w:ascii="Times New Roman" w:hAnsi="Times New Roman" w:eastAsia="바탕"/>
                <w:sz w:val="20"/>
              </w:rPr>
              <w:t>Two responses in §5.7 said opposite things about this principle. Professor Celia of the University of Pretoria wrote that a picture is the medium aligned to people who cannot read, without talking down to them.</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other side is Professor Heejung Seo of Dong-eui University, also in §5.7: to a non-literate person a picture too can feel like writing. Two responses say the opposite of each other about the same medium, and we do not know which is right. Of everything to confirm in the field evaluation of §5.10, this comes first. Measuring the comprehensibility of a picture without measuring whether it is recognised as a picture means scoring only the people who already passed.</w:t>
            </w:r>
          </w:p>
          <w:p>
            <w:pPr>
              <w:spacing w:before="180" w:after="40"/>
            </w:pPr>
            <w:r>
              <w:rPr>
                <w:rFonts w:ascii="Times New Roman" w:hAnsi="Times New Roman" w:eastAsia="바탕"/>
                <w:b/>
                <w:sz w:val="23"/>
              </w:rPr>
              <w:t>2.2 SIGIL, the pictogram composition engine</w:t>
            </w:r>
          </w:p>
          <w:p>
            <w:pPr>
              <w:spacing w:after="80" w:line="276" w:lineRule="auto"/>
              <w:jc w:val="both"/>
            </w:pPr>
            <w:r>
              <w:rPr>
                <w:rFonts w:ascii="Times New Roman" w:hAnsi="Times New Roman" w:eastAsia="바탕"/>
                <w:sz w:val="20"/>
              </w:rPr>
              <w:t>SIGIL (Symbol Intuitive Glyph Image Lab) is a pictogram composition engine the team designed and implemented itself. Where existing pictogram sets are lists of pictures, SIGIL is built from morphemes and a grammar.</w:t>
            </w:r>
          </w:p>
          <w:p>
            <w:pPr>
              <w:spacing w:after="80" w:line="276" w:lineRule="auto"/>
              <w:jc w:val="both"/>
            </w:pPr>
            <w:r>
              <w:rPr>
                <w:rFonts w:ascii="Times New Roman" w:hAnsi="Times New Roman" w:eastAsia="바탕"/>
                <w:sz w:val="20"/>
              </w:rPr>
              <w:t>It currently has 78 morphemes, divided into 57 heads and 21 modifiers. A head is an object that can stand on its own (pill bottle, dropper bottle, inhaler, peanut, milk carton), while a modifier cannot stand alone and goes into a slot inside a head (morning, midday, evening, count, refrigerate, eye, mouth).</w:t>
            </w:r>
          </w:p>
          <w:p>
            <w:pPr>
              <w:spacing w:after="80" w:line="276" w:lineRule="auto"/>
              <w:jc w:val="both"/>
            </w:pPr>
            <w:r>
              <w:rPr>
                <w:rFonts w:ascii="Times New Roman" w:hAnsi="Times New Roman" w:eastAsia="바탕"/>
                <w:sz w:val="20"/>
              </w:rPr>
              <w:t xml:space="preserve">There are five operators on top of this. </w:t>
            </w:r>
            <w:r>
              <w:rPr>
                <w:rFonts w:ascii="Consolas" w:hAnsi="Consolas" w:eastAsia="Consolas"/>
                <w:sz w:val="19"/>
              </w:rPr>
              <w:t>no{}</w:t>
            </w:r>
            <w:r>
              <w:rPr>
                <w:rFonts w:ascii="Times New Roman" w:hAnsi="Times New Roman" w:eastAsia="바탕"/>
                <w:sz w:val="20"/>
              </w:rPr>
              <w:t xml:space="preserve"> applies prohibition, </w:t>
            </w:r>
            <w:r>
              <w:rPr>
                <w:rFonts w:ascii="Consolas" w:hAnsi="Consolas" w:eastAsia="Consolas"/>
                <w:sz w:val="19"/>
              </w:rPr>
              <w:t>half{}</w:t>
            </w:r>
            <w:r>
              <w:rPr>
                <w:rFonts w:ascii="Times New Roman" w:hAnsi="Times New Roman" w:eastAsia="바탕"/>
                <w:sz w:val="20"/>
              </w:rPr>
              <w:t xml:space="preserve"> applies a half portion, and </w:t>
            </w:r>
            <w:r>
              <w:rPr>
                <w:rFonts w:ascii="Consolas" w:hAnsi="Consolas" w:eastAsia="Consolas"/>
                <w:sz w:val="19"/>
              </w:rPr>
              <w:t>twice_daily{}</w:t>
            </w:r>
            <w:r>
              <w:rPr>
                <w:rFonts w:ascii="Times New Roman" w:hAnsi="Times New Roman" w:eastAsia="바탕"/>
                <w:sz w:val="20"/>
              </w:rPr>
              <w:t xml:space="preserve">, </w:t>
            </w:r>
            <w:r>
              <w:rPr>
                <w:rFonts w:ascii="Consolas" w:hAnsi="Consolas" w:eastAsia="Consolas"/>
                <w:sz w:val="19"/>
              </w:rPr>
              <w:t>three_times_daily{}</w:t>
            </w:r>
            <w:r>
              <w:rPr>
                <w:rFonts w:ascii="Times New Roman" w:hAnsi="Times New Roman" w:eastAsia="바탕"/>
                <w:sz w:val="20"/>
              </w:rPr>
              <w:t xml:space="preserve"> and </w:t>
            </w:r>
            <w:r>
              <w:rPr>
                <w:rFonts w:ascii="Consolas" w:hAnsi="Consolas" w:eastAsia="Consolas"/>
                <w:sz w:val="19"/>
              </w:rPr>
              <w:t>four_times_daily{}</w:t>
            </w:r>
            <w:r>
              <w:rPr>
                <w:rFonts w:ascii="Times New Roman" w:hAnsi="Times New Roman" w:eastAsia="바탕"/>
                <w:sz w:val="20"/>
              </w:rPr>
              <w:t xml:space="preserve"> apply a daily frequency.</w:t>
            </w:r>
          </w:p>
          <w:p>
            <w:pPr>
              <w:spacing w:after="80" w:line="276" w:lineRule="auto"/>
              <w:jc w:val="both"/>
            </w:pPr>
            <w:r>
              <w:rPr>
                <w:rFonts w:ascii="Times New Roman" w:hAnsi="Times New Roman" w:eastAsia="바탕"/>
                <w:sz w:val="20"/>
              </w:rPr>
              <w:t>[Table 7] The composition of SIGIL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Examples</w:t>
                  </w:r>
                </w:p>
              </w:tc>
            </w:tr>
            <w:tr>
              <w:tc>
                <w:tcPr>
                  <w:tcW w:type="dxa" w:w="3255"/>
                </w:tcPr>
                <w:p>
                  <w:r>
                    <w:rPr>
                      <w:rFonts w:ascii="Times New Roman" w:hAnsi="Times New Roman" w:eastAsia="바탕"/>
                      <w:sz w:val="18"/>
                    </w:rPr>
                    <w:t>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Operator</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and 2 more</w:t>
                  </w:r>
                </w:p>
              </w:tc>
            </w:tr>
          </w:tbl>
          <w:p/>
          <w:p>
            <w:pPr>
              <w:spacing w:after="120"/>
            </w:pPr>
          </w:p>
          <w:p>
            <w:pPr>
              <w:spacing w:after="80" w:line="276" w:lineRule="auto"/>
              <w:jc w:val="both"/>
            </w:pPr>
            <w:r>
              <w:rPr>
                <w:rFonts w:ascii="Times New Roman" w:hAnsi="Times New Roman" w:eastAsia="바탕"/>
                <w:sz w:val="20"/>
              </w:rPr>
              <w:t xml:space="preserve">How the 78 were chosen says what kind of set this is. They were not drawn in bulk with combination considered afterwards; they were </w:t>
            </w:r>
            <w:r>
              <w:rPr>
                <w:rFonts w:ascii="Times New Roman" w:hAnsi="Times New Roman" w:eastAsia="바탕"/>
                <w:b/>
                <w:sz w:val="20"/>
              </w:rPr>
              <w:t>derived backwards from the error distribution in §1.3.</w:t>
            </w:r>
          </w:p>
          <w:p>
            <w:pPr>
              <w:spacing w:after="80" w:line="276" w:lineRule="auto"/>
              <w:jc w:val="both"/>
            </w:pPr>
            <w:r>
              <w:rPr>
                <w:rFonts w:ascii="Times New Roman" w:hAnsi="Times New Roman" w:eastAsia="바탕"/>
                <w:sz w:val="20"/>
              </w:rPr>
              <w:t>[Table 8] The 78 morphemes by category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What it says</w:t>
                  </w:r>
                </w:p>
              </w:tc>
            </w:tr>
            <w:tr>
              <w:tc>
                <w:tcPr>
                  <w:tcW w:type="dxa" w:w="3255"/>
                </w:tcPr>
                <w:p>
                  <w:r>
                    <w:rPr>
                      <w:rFonts w:ascii="Times New Roman" w:hAnsi="Times New Roman" w:eastAsia="바탕"/>
                      <w:sz w:val="18"/>
                    </w:rPr>
                    <w:t>Form, device, action</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What. Tablet, syrup, eye drops, inhaler, syringe, blood pressure monitor</w:t>
                  </w:r>
                </w:p>
              </w:tc>
            </w:tr>
            <w:tr>
              <w:tc>
                <w:tcPr>
                  <w:tcW w:type="dxa" w:w="3255"/>
                </w:tcPr>
                <w:p>
                  <w:r>
                    <w:rPr>
                      <w:rFonts w:ascii="Times New Roman" w:hAnsi="Times New Roman" w:eastAsia="바탕"/>
                      <w:sz w:val="18"/>
                    </w:rPr>
                    <w:t>Food</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What. Rice, bread, oil, sugar, vegetables</w:t>
                  </w:r>
                </w:p>
              </w:tc>
            </w:tr>
            <w:tr>
              <w:tc>
                <w:tcPr>
                  <w:tcW w:type="dxa" w:w="3255"/>
                </w:tcPr>
                <w:p>
                  <w:r>
                    <w:rPr>
                      <w:rFonts w:ascii="Times New Roman" w:hAnsi="Times New Roman" w:eastAsia="바탕"/>
                      <w:sz w:val="18"/>
                    </w:rPr>
                    <w:t>Allergen</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What to avoid. Peanut, tree nut, milk, egg, shellfish</w:t>
                  </w:r>
                </w:p>
              </w:tc>
            </w:tr>
            <w:tr>
              <w:tc>
                <w:tcPr>
                  <w:tcW w:type="dxa" w:w="3255"/>
                </w:tcPr>
                <w:p>
                  <w:r>
                    <w:rPr>
                      <w:rFonts w:ascii="Times New Roman" w:hAnsi="Times New Roman" w:eastAsia="바탕"/>
                      <w:sz w:val="18"/>
                    </w:rPr>
                    <w:t>Symptom</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What was experienced. Fever, cough, vomiting, abdominal pain</w:t>
                  </w:r>
                </w:p>
              </w:tc>
            </w:tr>
            <w:tr>
              <w:tc>
                <w:tcPr>
                  <w:tcW w:type="dxa" w:w="3255"/>
                </w:tcPr>
                <w:p>
                  <w:r>
                    <w:rPr>
                      <w:rFonts w:ascii="Times New Roman" w:hAnsi="Times New Roman" w:eastAsia="바탕"/>
                      <w:sz w:val="18"/>
                    </w:rPr>
                    <w:t>State</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Who. Child, teenager, adult, older adult, pregnant, breastfeeding</w:t>
                  </w:r>
                </w:p>
              </w:tc>
            </w:tr>
            <w:tr>
              <w:tc>
                <w:tcPr>
                  <w:tcW w:type="dxa" w:w="3255"/>
                </w:tcPr>
                <w:p>
                  <w:r>
                    <w:rPr>
                      <w:rFonts w:ascii="Times New Roman" w:hAnsi="Times New Roman" w:eastAsia="바탕"/>
                      <w:sz w:val="18"/>
                    </w:rPr>
                    <w:t>Body site</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Where. Eye, mouth, nose, skin, stomach</w:t>
                  </w:r>
                </w:p>
              </w:tc>
            </w:tr>
            <w:tr>
              <w:tc>
                <w:tcPr>
                  <w:tcW w:type="dxa" w:w="3255"/>
                </w:tcPr>
                <w:p>
                  <w:r>
                    <w:rPr>
                      <w:rFonts w:ascii="Times New Roman" w:hAnsi="Times New Roman" w:eastAsia="바탕"/>
                      <w:b/>
                      <w:sz w:val="18"/>
                    </w:rPr>
                    <w:t>Count</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How much</w:t>
                  </w:r>
                  <w:r>
                    <w:rPr>
                      <w:rFonts w:ascii="Times New Roman" w:hAnsi="Times New Roman" w:eastAsia="바탕"/>
                      <w:sz w:val="18"/>
                    </w:rPr>
                    <w:t>, from one to five</w:t>
                  </w:r>
                </w:p>
              </w:tc>
            </w:tr>
            <w:tr>
              <w:tc>
                <w:tcPr>
                  <w:tcW w:type="dxa" w:w="3255"/>
                </w:tcPr>
                <w:p>
                  <w:r>
                    <w:rPr>
                      <w:rFonts w:ascii="Times New Roman" w:hAnsi="Times New Roman" w:eastAsia="바탕"/>
                      <w:b/>
                      <w:sz w:val="18"/>
                    </w:rPr>
                    <w:t>Time of day</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When</w:t>
                  </w:r>
                  <w:r>
                    <w:rPr>
                      <w:rFonts w:ascii="Times New Roman" w:hAnsi="Times New Roman" w:eastAsia="바탕"/>
                      <w:sz w:val="18"/>
                    </w:rPr>
                    <w:t>, morning, midday, evening, night</w:t>
                  </w:r>
                </w:p>
              </w:tc>
            </w:tr>
            <w:tr>
              <w:tc>
                <w:tcPr>
                  <w:tcW w:type="dxa" w:w="3255"/>
                </w:tcPr>
                <w:p>
                  <w:r>
                    <w:rPr>
                      <w:rFonts w:ascii="Times New Roman" w:hAnsi="Times New Roman" w:eastAsia="바탕"/>
                      <w:sz w:val="18"/>
                    </w:rPr>
                    <w:t>Storage</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How. Refrigerate, keep dry, keep out of light</w:t>
                  </w:r>
                </w:p>
              </w:tc>
            </w:tr>
          </w:tbl>
          <w:p/>
          <w:p>
            <w:pPr>
              <w:spacing w:after="120"/>
            </w:pPr>
          </w:p>
          <w:p>
            <w:pPr>
              <w:spacing w:after="80" w:line="276" w:lineRule="auto"/>
              <w:jc w:val="both"/>
            </w:pPr>
            <w:r>
              <w:rPr>
                <w:rFonts w:ascii="Times New Roman" w:hAnsi="Times New Roman" w:eastAsia="바탕"/>
                <w:sz w:val="20"/>
              </w:rPr>
              <w:t>The two categories in bold correspond directly to the top two errors in Table 4 (dose 28.4%, timing 23.2%). Count stopping at five and time of day having only four is not economy aimed at shrinking the set but a reflection of prescriptions not in fact requiring more. Dosing more than five times a day is rare, and anything more frequent is expressed as "every so many hours" rather than as a time of day.</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16]</w:t>
            </w:r>
            <w:r>
              <w:rPr>
                <w:rFonts w:ascii="Times New Roman" w:hAnsi="Times New Roman" w:eastAsia="바탕"/>
                <w:color w:val="606068"/>
                <w:sz w:val="18"/>
              </w:rPr>
              <w:t xml:space="preserve"> How the 78 morphemes divide, set against the distribution of medication error. The two red branches map directly onto the leading error types in Table 4. That the size of a branch runs opposite to the size of the error is because the side that needs many drawings and the side that goes wrong often are not the same. Five is enough for count; twenty-six are needed for dosage form. Count stopping at five and time of day having only four is not economising to keep the set small but the fact that prescriptions do not ask for more. Dosing more than five times a day is rare, and anything more frequent is expressed as "every so many hours" rather than as a time of day.</w:t>
            </w:r>
          </w:p>
          <w:p>
            <w:pPr>
              <w:spacing w:after="80" w:line="276" w:lineRule="auto"/>
              <w:jc w:val="both"/>
            </w:pPr>
            <w:r>
              <w:rPr>
                <w:rFonts w:ascii="Times New Roman" w:hAnsi="Times New Roman" w:eastAsia="바탕"/>
                <w:sz w:val="20"/>
              </w:rPr>
              <w:t>The thickest category, conversely, is dosage form. The reason is in §2.3. Once the form is settled the verb and the body site are settled with it, so adding one form adds a whole instruction. The nine allergens follow the list of major allergens whose declaration is mandatory internationally.</w:t>
            </w:r>
          </w:p>
          <w:p>
            <w:pPr>
              <w:spacing w:after="80" w:line="276" w:lineRule="auto"/>
              <w:jc w:val="both"/>
            </w:pPr>
            <w:r>
              <w:rPr>
                <w:rFonts w:ascii="Times New Roman" w:hAnsi="Times New Roman" w:eastAsia="바탕"/>
                <w:sz w:val="20"/>
              </w:rPr>
              <w:t xml:space="preserve">The constraint of the black-and-white silhouette was touched from two directions in §5.7. Professor Namsoo Park of Hyupsung University wrote that in black and white alone it is hard to tell that the egg allergy marking is an egg, and that icons need to be drawn as the real thing; Professor Myoungsoon You of Seoul National University named "the half picture" as a place likely to be misread. The first became the basis, among the fixes after the survey in §5.7, for redrawing </w:t>
            </w:r>
            <w:r>
              <w:rPr>
                <w:rFonts w:ascii="Consolas" w:hAnsi="Consolas" w:eastAsia="Consolas"/>
                <w:sz w:val="19"/>
              </w:rPr>
              <w:t>allergen_egg</w:t>
            </w:r>
            <w:r>
              <w:rPr>
                <w:rFonts w:ascii="Times New Roman" w:hAnsi="Times New Roman" w:eastAsia="바탕"/>
                <w:sz w:val="20"/>
              </w:rPr>
              <w:t xml:space="preserve"> as a cracked egg; the second says that the half drawn by the </w:t>
            </w:r>
            <w:r>
              <w:rPr>
                <w:rFonts w:ascii="Consolas" w:hAnsi="Consolas" w:eastAsia="Consolas"/>
                <w:sz w:val="19"/>
              </w:rPr>
              <w:t>half{}</w:t>
            </w:r>
            <w:r>
              <w:rPr>
                <w:rFonts w:ascii="Times New Roman" w:hAnsi="Times New Roman" w:eastAsia="바탕"/>
                <w:sz w:val="20"/>
              </w:rPr>
              <w:t xml:space="preserve"> operator may not read as meaning a half. We have not fixed the second.</w:t>
            </w:r>
          </w:p>
          <w:p>
            <w:pPr>
              <w:spacing w:after="80" w:line="276" w:lineRule="auto"/>
              <w:jc w:val="both"/>
            </w:pPr>
            <w:r>
              <w:rPr>
                <w:rFonts w:ascii="Times New Roman" w:hAnsi="Times New Roman" w:eastAsia="바탕"/>
                <w:sz w:val="20"/>
              </w:rPr>
              <w:t>E. A. Draffan, retired speech and language therapist and visiting accessibility researcher at Global Symbols, pointed at another layer. Our set is black and white, whereas the symbol systems AAC users are familiar with are usually coloured, and the two look different. It interlocks with the decision in §3.7 to use colour only for the verdict and keep morphemes black and white. Using colour loses users with colour vision deficiency; not using it loses users accustomed to coloured symbols. We chose the former, and we record the cost here.</w:t>
            </w:r>
          </w:p>
          <w:p>
            <w:pPr>
              <w:spacing w:after="80" w:line="276" w:lineRule="auto"/>
              <w:jc w:val="both"/>
            </w:pPr>
            <w:r>
              <w:rPr>
                <w:rFonts w:ascii="Times New Roman" w:hAnsi="Times New Roman" w:eastAsia="바탕"/>
                <w:sz w:val="20"/>
              </w:rPr>
              <w:t>What is missing, the respondents pointed out themselves. Sheron Sir Loon Goh, Pharmacy Lecturer, gave as examples of special instructions "shake before use" and "keep away from children". Neither is among the present 78. Niken Nur Widyakusuma, PhD and pharmacist at Universitas Gadjah Mada in Indonesia, pointed at another layer: telling the medicines apart comes first when several arrive at once, and the present set distinguishes medicines only by dosage form. Receiving two different capsules produces two identical rows.</w:t>
            </w:r>
          </w:p>
          <w:p>
            <w:pPr>
              <w:spacing w:after="80" w:line="276" w:lineRule="auto"/>
              <w:jc w:val="both"/>
            </w:pPr>
            <w:r>
              <w:rPr>
                <w:rFonts w:ascii="Times New Roman" w:hAnsi="Times New Roman" w:eastAsia="바탕"/>
                <w:sz w:val="20"/>
              </w:rPr>
              <w:t>Professor Katarina Vučićević of the University of Belgrade widened the scope of interactions. Over-the-counter products, dietary supplements and underlying conditions may be clinically significant too, not only other medicines. What the verdict of §2.4 handles is the prescribed medicine and the conditions the user registered, so that scope currently lies outside.</w:t>
            </w:r>
          </w:p>
          <w:p>
            <w:pPr>
              <w:spacing w:after="80" w:line="276" w:lineRule="auto"/>
              <w:jc w:val="both"/>
            </w:pPr>
            <w:r>
              <w:rPr>
                <w:rFonts w:ascii="Times New Roman" w:hAnsi="Times New Roman" w:eastAsia="바탕"/>
                <w:sz w:val="20"/>
              </w:rPr>
              <w:t xml:space="preserve">We record here that the set is not closed. Prescriptions keep producing things these 78 cannot draw, and what the app does at that moment is covered by the </w:t>
            </w:r>
            <w:r>
              <w:rPr>
                <w:rFonts w:ascii="Consolas" w:hAnsi="Consolas" w:eastAsia="Consolas"/>
                <w:sz w:val="19"/>
              </w:rPr>
              <w:t>\?concept</w:t>
            </w:r>
            <w:r>
              <w:rPr>
                <w:rFonts w:ascii="Times New Roman" w:hAnsi="Times New Roman" w:eastAsia="바탕"/>
                <w:sz w:val="20"/>
              </w:rPr>
              <w:t xml:space="preserve"> marker in §2.3 and the expansion path in §5.10.</w:t>
            </w:r>
          </w:p>
          <w:p>
            <w:pPr>
              <w:spacing w:after="80" w:line="276" w:lineRule="auto"/>
              <w:jc w:val="both"/>
            </w:pPr>
            <w:r>
              <w:rPr>
                <w:rFonts w:ascii="Times New Roman" w:hAnsi="Times New Roman" w:eastAsia="바탕"/>
                <w:sz w:val="20"/>
              </w:rPr>
              <w:t>Why this structure is needed becomes clear in contrast with the USP standard from the previous section. A single instruction reading "three times a day, after meals, keep refrigerated, contraindicated in pregnancy" can only be conveyed in USP by listing five or six symbols, and will remain so because the licence prohibits combination (USP Pictogram Library License Agreement). In SIGIL it is expressed as follows.</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Each line is composed into one picture, with slots opened inside the head for modifiers to be drawn into. Adding a morpheme requires one drawing, and the grammar produces the remaining combinations.</w:t>
            </w:r>
          </w:p>
          <w:p>
            <w:pPr>
              <w:spacing w:after="80" w:line="276" w:lineRule="auto"/>
              <w:jc w:val="both"/>
            </w:pPr>
            <w:r>
              <w:rPr>
                <w:rFonts w:ascii="Times New Roman" w:hAnsi="Times New Roman" w:eastAsia="바탕"/>
                <w:sz w:val="20"/>
              </w:rPr>
              <w:t>The grammar is not merely a set of rules; the parser enforces it. The core of the recursive descent parser is as follows.</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Design intent. Each of the three branches is one clause of the grammar. A modifier outside a slot fails to parse unless it is marked </w:t>
            </w:r>
            <w:r>
              <w:rPr>
                <w:rFonts w:ascii="Consolas" w:hAnsi="Consolas" w:eastAsia="Consolas"/>
                <w:sz w:val="19"/>
              </w:rPr>
              <w:t>standalone</w:t>
            </w:r>
            <w:r>
              <w:rPr>
                <w:rFonts w:ascii="Times New Roman" w:hAnsi="Times New Roman" w:eastAsia="바탕"/>
                <w:sz w:val="20"/>
              </w:rPr>
              <w:t xml:space="preserve"> (the four in §2.2 — morning, noon, evening and night; a time of day stands on its own without modifying anything, so it is allowed to stand alone), a head placed in another head's slot fails as well, and a name absent from the dictionary becomes an error rather than a picture. This matters because the DSL is not written by hand but produced by a language model reading a prescription. If the model invents a plausible name, that has to become a parse error rather than a plausible picture on screen. Putting a deterministic verification layer over probabilistic output on a safety-critical screen is what this parser is for, and the same structure is used for the nutrition verdict in §4.2.</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17]</w:t>
            </w:r>
            <w:r>
              <w:rPr>
                <w:rFonts w:ascii="Times New Roman" w:hAnsi="Times New Roman" w:eastAsia="바탕"/>
                <w:color w:val="606068"/>
                <w:sz w:val="18"/>
              </w:rPr>
              <w:t xml:space="preserve"> All 78 SIGIL morphemes (57 heads and 21 modifiers). The small image beneath each morpheme is the same glyph reduced to 34 pixels. The reductions are included because these pictures are in practice used on a palm-sized screen, sometimes as a single cell in a list. A picture that is only distinguishable when drawn large cannot be used in this app.</w:t>
            </w:r>
          </w:p>
          <w:p>
            <w:pPr>
              <w:spacing w:after="80" w:line="276" w:lineRule="auto"/>
              <w:jc w:val="both"/>
            </w:pPr>
            <w:r>
              <w:rPr>
                <w:rFonts w:ascii="Times New Roman" w:hAnsi="Times New Roman" w:eastAsia="바탕"/>
                <w:sz w:val="20"/>
              </w:rPr>
              <w:t>Whether 78 is enough was put to us head-on in the survey. It is the first line Professor Kyogu Lee of Seoul National University wrote in the "anything you would add" box:</w:t>
            </w:r>
          </w:p>
          <w:p>
            <w:pPr>
              <w:spacing w:after="40" w:line="276" w:lineRule="auto"/>
              <w:ind w:left="403"/>
            </w:pPr>
            <w:r>
              <w:rPr>
                <w:rFonts w:ascii="Times New Roman" w:hAnsi="Times New Roman" w:eastAsia="바탕"/>
                <w:i/>
                <w:color w:val="606068"/>
                <w:sz w:val="19"/>
              </w:rPr>
              <w:t>"The pictograms define 78 \"words\"; even with recombination, can they really cover the very wide range of medicines and regimens?"</w:t>
            </w:r>
          </w:p>
          <w:p>
            <w:pPr>
              <w:spacing w:after="180" w:line="276" w:lineRule="auto"/>
              <w:ind w:left="403"/>
            </w:pPr>
            <w:r>
              <w:rPr>
                <w:rFonts w:ascii="Times New Roman" w:hAnsi="Times New Roman" w:eastAsia="바탕"/>
                <w:i w:val="0"/>
                <w:color w:val="606068"/>
                <w:sz w:val="19"/>
              </w:rPr>
              <w:t>(Professor Kyogu Lee, Seoul National University)</w:t>
            </w:r>
          </w:p>
          <w:p>
            <w:pPr>
              <w:spacing w:after="80" w:line="276" w:lineRule="auto"/>
              <w:jc w:val="both"/>
            </w:pPr>
            <w:r>
              <w:rPr>
                <w:rFonts w:ascii="Times New Roman" w:hAnsi="Times New Roman" w:eastAsia="바탕"/>
                <w:sz w:val="20"/>
              </w:rPr>
              <w:t>What this section can answer is the arithmetic. Each of the 57 heads has one modifier slot and the dictionary restricts which modifiers may enter it, so the set as it stands can produce 1,258 cells (Figure 12). The 78 is a count of words, not a count of instructions that can be expressed.</w:t>
            </w:r>
          </w:p>
          <w:p>
            <w:pPr>
              <w:spacing w:after="80" w:line="276" w:lineRule="auto"/>
              <w:jc w:val="both"/>
            </w:pPr>
            <w:r>
              <w:rPr>
                <w:rFonts w:ascii="Times New Roman" w:hAnsi="Times New Roman" w:eastAsia="바탕"/>
                <w:sz w:val="20"/>
              </w:rPr>
              <w:t>That answer does not take the whole question, though. How many of the 1,258 make sense we did not count, and we did not survey the distribution of instructions in real prescriptions to see whether they are covered. The top three types clustered in Table 4 of §1.3 can be said to be covered, but that is where errors cluster, not where instructions cluster. We leave this question to stage 4 of §5.10, the procedure that records concepts the app could not build. Only by counting what it fails to make can we learn whether 78 is short.</w:t>
            </w:r>
          </w:p>
          <w:p>
            <w:pPr>
              <w:spacing w:after="80" w:line="276" w:lineRule="auto"/>
              <w:jc w:val="both"/>
            </w:pPr>
            <w:r>
              <w:rPr>
                <w:rFonts w:ascii="Times New Roman" w:hAnsi="Times New Roman" w:eastAsia="바탕"/>
                <w:sz w:val="20"/>
              </w:rPr>
              <w:t>The same response pointed at one more thing, and that one is already fixed: some negative instructions carry no "/" or "X", with alcohol and pregnancy given as examples. §5.2 divided the prohibition marking into three by the nature of the flag and dealt with that place.</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18]</w:t>
            </w:r>
            <w:r>
              <w:rPr>
                <w:rFonts w:ascii="Times New Roman" w:hAnsi="Times New Roman" w:eastAsia="바탕"/>
                <w:color w:val="606068"/>
                <w:sz w:val="18"/>
              </w:rPr>
              <w:t xml:space="preserve"> How one line of DSL becomes one picture. All four examples are outputs from the actual engine and were not redrawn for the diagram. Because modifiers go into slots opened in the head, the combinations arising from 78 morphemes are determined by the grammar rather than by a list.</w:t>
            </w:r>
          </w:p>
          <w:p>
            <w:pPr>
              <w:spacing w:before="180" w:after="40"/>
            </w:pPr>
            <w:r>
              <w:rPr>
                <w:rFonts w:ascii="Times New Roman" w:hAnsi="Times New Roman" w:eastAsia="바탕"/>
                <w:b/>
                <w:sz w:val="23"/>
              </w:rPr>
              <w:t>2.3 VOCA, the spoken instruction engine</w:t>
            </w:r>
          </w:p>
          <w:p>
            <w:pPr>
              <w:spacing w:after="80" w:line="276" w:lineRule="auto"/>
              <w:jc w:val="both"/>
            </w:pPr>
            <w:r>
              <w:rPr>
                <w:rFonts w:ascii="Times New Roman" w:hAnsi="Times New Roman" w:eastAsia="바탕"/>
                <w:sz w:val="20"/>
              </w:rPr>
              <w:t>VOCA (Voice-Output Composition Architecture) does not convert the string read by OCR straight into speech. A prescription contains a great deal the patient does not need to know, and what they do need is scattered.</w:t>
            </w:r>
          </w:p>
          <w:p>
            <w:pPr>
              <w:spacing w:after="80" w:line="276" w:lineRule="auto"/>
              <w:jc w:val="both"/>
            </w:pPr>
            <w:r>
              <w:rPr>
                <w:rFonts w:ascii="Times New Roman" w:hAnsi="Times New Roman" w:eastAsia="바탕"/>
                <w:sz w:val="20"/>
              </w:rPr>
              <w:t xml:space="preserve">VOCA extracts only what is needed, reassembles it and turns it into sentences. The basis for this design lies in research on interactive voice response. Usability ratings among older users are consistently lower than among younger users and they complete fewer tasks, with most of the difficulty arising from ambiguous options, speech rate and the length of options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Younger users voiced the same complaints but mostly worked past them, whereas older users often did not. Playing speech is therefore not enough on its own, and what not to say becomes the core of the design.</w:t>
            </w:r>
          </w:p>
          <w:p>
            <w:pPr>
              <w:spacing w:after="80" w:line="276" w:lineRule="auto"/>
              <w:jc w:val="both"/>
            </w:pPr>
            <w:r>
              <w:rPr>
                <w:rFonts w:ascii="Times New Roman" w:hAnsi="Times New Roman" w:eastAsia="바탕"/>
                <w:sz w:val="20"/>
              </w:rPr>
              <w:t>That study contains one result that appears at first to run against our design: both age groups were more efficient when more options were presented. This concerns the number of options held in a single step, however, and doing so reduces the depth of the menu. It runs in the same direction as the finding in §1.10 that deep hierarchies are particularly unfavourable for non-literate users, and what the two studies point to together is "reduce the steps" rather than "reduce the options." What SnapCare has taken is the extreme of that. There is not a single step on the path to a verdict.</w:t>
            </w:r>
          </w:p>
          <w:p>
            <w:pPr>
              <w:spacing w:after="80" w:line="276" w:lineRule="auto"/>
              <w:jc w:val="both"/>
            </w:pPr>
            <w:r>
              <w:rPr>
                <w:rFonts w:ascii="Times New Roman" w:hAnsi="Times New Roman" w:eastAsia="바탕"/>
                <w:sz w:val="20"/>
              </w:rPr>
              <w:t>What to discard is settled first. One prescription sheet also carries a patient record number, the name of the institution, a prescription code, the prescriber's licence number, the date of issue and a drug code. All six are needed for administration, billing and traceability, and not one of them changes anything the person about to take the medicine has to do. On paper the eye skips them by itself. Speech cannot be skipped. The listener can neither rewind nor run ahead, so every line read aloud buries what comes after it by that much. This information stays on the screen. It is not deleted; it is not read.</w:t>
            </w:r>
          </w:p>
          <w:p>
            <w:pPr>
              <w:spacing w:after="80" w:line="276" w:lineRule="auto"/>
              <w:jc w:val="both"/>
            </w:pPr>
            <w:r>
              <w:rPr>
                <w:rFonts w:ascii="Times New Roman" w:hAnsi="Times New Roman" w:eastAsia="바탕"/>
                <w:sz w:val="20"/>
              </w:rPr>
              <w:t>There is a reason for the order in which what remains is spoken. The dose per intake comes first. In the first formative measurement in §5.1, dose and storage information reached the pictogram from OCR but did not reach the speech and the sentences, and that state is exactly the failure type cited in §1.3: repeating the instruction accurately while being unable to point out how many tablets a day. In Davis et al. (2006), of the 70.7% who could do the former, 34.7% could do the latter. Then comes how to take it, then the closing sentence, and storage is attached only when refrigeration is required. Room temperature is the default and not worth another sentence.</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19]</w:t>
            </w:r>
            <w:r>
              <w:rPr>
                <w:rFonts w:ascii="Times New Roman" w:hAnsi="Times New Roman" w:eastAsia="바탕"/>
                <w:color w:val="606068"/>
                <w:sz w:val="18"/>
              </w:rPr>
              <w:t xml:space="preserve"> What VOCA discards from one prescription sheet and in what order it says the rest. The six discarded lines are not erased from the screen; they are simply not read aloud. Order is importance because the listener cannot rewind, and the dose per intake comes first because in the first measurement of §5.1 that item was not reaching the speech channel.</w:t>
            </w:r>
          </w:p>
          <w:p>
            <w:pPr>
              <w:spacing w:after="80" w:line="276" w:lineRule="auto"/>
              <w:jc w:val="both"/>
            </w:pPr>
            <w:r>
              <w:rPr>
                <w:rFonts w:ascii="Times New Roman" w:hAnsi="Times New Roman" w:eastAsia="바탕"/>
                <w:sz w:val="20"/>
              </w:rPr>
              <w:t>The verb also changes with the dosage form. A tablet is "take," but eye drops are "put in," an ointment is "apply" and an inhaler is "breathe in." The single word "administer" points to completely different physical actions.</w:t>
            </w:r>
          </w:p>
          <w:p>
            <w:pPr>
              <w:spacing w:after="80" w:line="276" w:lineRule="auto"/>
              <w:jc w:val="both"/>
            </w:pPr>
            <w:r>
              <w:rPr>
                <w:rFonts w:ascii="Times New Roman" w:hAnsi="Times New Roman" w:eastAsia="바탕"/>
                <w:sz w:val="20"/>
              </w:rPr>
              <w:t>The verb is not the only thing that changes. The body site changes too. That eye drops go into the eye is half the instruction, and if the picture has only the bottle and no eye, that half disappears. The body site is therefore derived from the dosage form.</w:t>
            </w:r>
          </w:p>
          <w:p>
            <w:pPr>
              <w:spacing w:after="160"/>
            </w:pPr>
            <w:r>
              <w:rPr>
                <w:rFonts w:ascii="Consolas" w:hAnsi="Consolas" w:eastAsia="Consolas"/>
                <w:sz w:val="18"/>
              </w:rPr>
              <w:t>/**</w:t>
              <w:br/>
              <w:t xml:space="preserve"> * Dosage form → where on the body it is used.</w:t>
              <w:br/>
              <w:t xml:space="preserve"> *</w:t>
              <w:br/>
              <w:t xml:space="preserve"> * That eye drops go 'into the eye' is half the instruction, yet the picture had</w:t>
              <w:br/>
              <w:t xml:space="preserve"> * only the bottle and no eye. The moment OCR identifies the form the site is</w:t>
              <w:br/>
              <w:t xml:space="preserve"> * settled too, so there is no need to ask separately.</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Putting all nine dosage forms side by side shows the rule that governs the two channels.</w:t>
            </w:r>
          </w:p>
          <w:p>
            <w:pPr>
              <w:spacing w:after="80" w:line="276" w:lineRule="auto"/>
              <w:jc w:val="both"/>
            </w:pPr>
            <w:r>
              <w:rPr>
                <w:rFonts w:ascii="Times New Roman" w:hAnsi="Times New Roman" w:eastAsia="바탕"/>
                <w:sz w:val="20"/>
              </w:rPr>
              <w:t>[Table 9] Body site and speech derived from the dosage form (all nine forms)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Dosage form</w:t>
                  </w:r>
                </w:p>
              </w:tc>
              <w:tc>
                <w:tcPr>
                  <w:tcW w:type="dxa" w:w="1953"/>
                  <w:shd w:val="clear" w:fill="F2F2F2"/>
                </w:tcPr>
                <w:p>
                  <w:r>
                    <w:rPr>
                      <w:rFonts w:ascii="Times New Roman" w:hAnsi="Times New Roman" w:eastAsia="바탕"/>
                      <w:b/>
                      <w:sz w:val="18"/>
                    </w:rPr>
                    <w:t>Site in the picture</w:t>
                  </w:r>
                </w:p>
              </w:tc>
              <w:tc>
                <w:tcPr>
                  <w:tcW w:type="dxa" w:w="1953"/>
                  <w:shd w:val="clear" w:fill="F2F2F2"/>
                </w:tcPr>
                <w:p>
                  <w:r>
                    <w:rPr>
                      <w:rFonts w:ascii="Times New Roman" w:hAnsi="Times New Roman" w:eastAsia="바탕"/>
                      <w:b/>
                      <w:sz w:val="18"/>
                    </w:rPr>
                    <w:t>Spoken verb</w:t>
                  </w:r>
                </w:p>
              </w:tc>
              <w:tc>
                <w:tcPr>
                  <w:tcW w:type="dxa" w:w="1953"/>
                  <w:shd w:val="clear" w:fill="F2F2F2"/>
                </w:tcPr>
                <w:p>
                  <w:r>
                    <w:rPr>
                      <w:rFonts w:ascii="Times New Roman" w:hAnsi="Times New Roman" w:eastAsia="바탕"/>
                      <w:b/>
                      <w:sz w:val="18"/>
                    </w:rPr>
                    <w:t>Spoken site</w:t>
                  </w:r>
                </w:p>
              </w:tc>
              <w:tc>
                <w:tcPr>
                  <w:tcW w:type="dxa" w:w="1953"/>
                  <w:shd w:val="clear" w:fill="F2F2F2"/>
                </w:tcPr>
                <w:p>
                  <w:r>
                    <w:rPr>
                      <w:rFonts w:ascii="Times New Roman" w:hAnsi="Times New Roman" w:eastAsia="바탕"/>
                      <w:b/>
                      <w:sz w:val="18"/>
                    </w:rPr>
                    <w:t>Closing sentence</w:t>
                  </w:r>
                </w:p>
              </w:tc>
            </w:tr>
            <w:tr>
              <w:tc>
                <w:tcPr>
                  <w:tcW w:type="dxa" w:w="1953"/>
                </w:tcPr>
                <w:p>
                  <w:r>
                    <w:rPr>
                      <w:rFonts w:ascii="Times New Roman" w:hAnsi="Times New Roman" w:eastAsia="바탕"/>
                      <w:sz w:val="18"/>
                    </w:rPr>
                    <w:t>eyedrop</w:t>
                  </w:r>
                </w:p>
              </w:tc>
              <w:tc>
                <w:tcPr>
                  <w:tcW w:type="dxa" w:w="1953"/>
                </w:tcPr>
                <w:p>
                  <w:r>
                    <w:rPr>
                      <w:rFonts w:ascii="Times New Roman" w:hAnsi="Times New Roman" w:eastAsia="바탕"/>
                      <w:sz w:val="18"/>
                    </w:rPr>
                    <w:t>eye</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cream</w:t>
                  </w:r>
                </w:p>
              </w:tc>
              <w:tc>
                <w:tcPr>
                  <w:tcW w:type="dxa" w:w="1953"/>
                </w:tcPr>
                <w:p>
                  <w:r>
                    <w:rPr>
                      <w:rFonts w:ascii="Times New Roman" w:hAnsi="Times New Roman" w:eastAsia="바탕"/>
                      <w:sz w:val="18"/>
                    </w:rPr>
                    <w:t>skin</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inhaler</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syrup</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injection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suppository</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tablet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capsule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sachet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Two forms speak the site and four draw it. This difference is not an oversight. In speech the site is attached only when the verb cannot carry it. "Put" does not say where, so without "in the eye" only half the instruction arrives. "Breathe in" already carries where the breath goes, and so does "Take." Adding "in the mouth" there gains no information and only lengthens the sentence, and the IVR study cited above, which identified the length of options as a cause of failure among older users, is the basis for that judgement. The same economy does not apply to the picture. In a picture the mouth is not a verb but a place, and leaving the place empty makes it a place with nothing in it.</w:t>
            </w:r>
          </w:p>
          <w:p>
            <w:pPr>
              <w:spacing w:after="80" w:line="276" w:lineRule="auto"/>
              <w:jc w:val="both"/>
            </w:pPr>
            <w:r>
              <w:rPr>
                <w:rFonts w:ascii="Times New Roman" w:hAnsi="Times New Roman" w:eastAsia="바탕"/>
                <w:sz w:val="20"/>
              </w:rPr>
              <w:t>That leaves injection and suppository. For these two the verb cannot carry the site, and yet the site is neither spoken nor drawn. This is not economy but a gap we have not filled. A prescription often does not record where an injection goes, and the site varies by drug between arm, abdomen and buttock, so choosing one to draw would be inventing something the prescription does not contain. A suppository has a single site, but standing it up as a picture would require drawing the orientation of a human body, and that is outside what the 78 morphemes currently handle. Both are carried over to the unverified items in §5.9. For now, recording that the verb alone does not complete the instruction is all we can do.</w:t>
            </w:r>
          </w:p>
          <w:p>
            <w:pPr>
              <w:spacing w:after="80" w:line="276" w:lineRule="auto"/>
              <w:jc w:val="both"/>
            </w:pPr>
            <w:r>
              <w:rPr>
                <w:rFonts w:ascii="Times New Roman" w:hAnsi="Times New Roman" w:eastAsia="바탕"/>
                <w:sz w:val="20"/>
              </w:rPr>
              <w:t>One response in §5.7 pointed at a layer this table does not cover. Niken Nur Widyakusuma, PhD and pharmacist at Universitas Gadjah Mada in Indonesia, wrote that "every 8 hours" is better than "three times a day".</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PhD and pharmacist, Universitas Gadjah Mada)</w:t>
            </w:r>
          </w:p>
          <w:p>
            <w:pPr>
              <w:spacing w:after="80" w:line="276" w:lineRule="auto"/>
              <w:jc w:val="both"/>
            </w:pPr>
            <w:r>
              <w:rPr>
                <w:rFonts w:ascii="Times New Roman" w:hAnsi="Times New Roman" w:eastAsia="바탕"/>
                <w:sz w:val="20"/>
              </w:rPr>
              <w:t>This sits on the boundary of our morpheme design. The four time morphemes of §2.2 are morning, midday, evening and night; they cannot draw "every so many hours". Table 8 records that time of day has only four because prescriptions do not ask for more, and this response says that what a prescription asks for may be a different axis altogether. Three times a day says when; every eight hours says the interval, and for a drug such as an antibiotic where blood concentration matters the latter is the clinically correct one. The engine cannot draw an interval, and drawing more morphemes does not fix it, because the axis itself is different. Carried over to stage 5 of §5.10.</w:t>
            </w:r>
          </w:p>
          <w:p>
            <w:pPr>
              <w:spacing w:after="80" w:line="276" w:lineRule="auto"/>
              <w:jc w:val="both"/>
            </w:pPr>
            <w:r>
              <w:rPr>
                <w:rFonts w:ascii="Times New Roman" w:hAnsi="Times New Roman" w:eastAsia="바탕"/>
                <w:sz w:val="20"/>
              </w:rPr>
              <w:t>Design intent. The body site is not asked of the user. Asking means options have to be read, and making people read hierarchies and options is, as established in §1.10, exactly what this app sets out to remove. By the time OCR has read "ophthalmic solution" the site is already determined, so it is something to derive rather than to ask.</w:t>
            </w:r>
          </w:p>
          <w:p>
            <w:pPr>
              <w:spacing w:after="80" w:line="276" w:lineRule="auto"/>
              <w:jc w:val="both"/>
            </w:pPr>
            <w:r>
              <w:rPr>
                <w:rFonts w:ascii="Times New Roman" w:hAnsi="Times New Roman" w:eastAsia="바탕"/>
                <w:sz w:val="20"/>
              </w:rPr>
              <w:t xml:space="preserve">There is judgement in how an unknown dosage form is handled as well. Previously a form absent from the table fell silently to a generic pill bottle picture. Inhaler or nebuliser, a pill bottle appeared on screen, and no record was left of how often that happened. Now a </w:t>
            </w:r>
            <w:r>
              <w:rPr>
                <w:rFonts w:ascii="Consolas" w:hAnsi="Consolas" w:eastAsia="Consolas"/>
                <w:sz w:val="19"/>
              </w:rPr>
              <w:t>\?form</w:t>
            </w:r>
            <w:r>
              <w:rPr>
                <w:rFonts w:ascii="Times New Roman" w:hAnsi="Times New Roman" w:eastAsia="바탕"/>
                <w:sz w:val="20"/>
              </w:rPr>
              <w:t xml:space="preserve"> marker is put in front. It means "we have no picture for this concept," and the online build composes a picture on the spot while the on-device build reports the absence rather than substituting a similar picture. For someone who cannot read, a wrong picture is worse than no picture. Absence falls through to speech, whereas a wrong picture is confidently wrong and the user has no way of knowing it is wrong.</w:t>
            </w:r>
          </w:p>
          <w:p>
            <w:pPr>
              <w:spacing w:after="80" w:line="276" w:lineRule="auto"/>
              <w:jc w:val="both"/>
            </w:pPr>
            <w:r>
              <w:rPr>
                <w:rFonts w:ascii="Times New Roman" w:hAnsi="Times New Roman" w:eastAsia="바탕"/>
                <w:sz w:val="20"/>
              </w:rPr>
              <w:t xml:space="preserve">We accept that this is only a partial solution. A head is also the vessel that carries time of day, count and storage, so when the form is unknown those lines are still drawn on top of a generic bottle. Fixing it properly requires the concept to become a formal morpheme, which is why </w:t>
            </w:r>
            <w:r>
              <w:rPr>
                <w:rFonts w:ascii="Consolas" w:hAnsi="Consolas" w:eastAsia="Consolas"/>
                <w:sz w:val="19"/>
              </w:rPr>
              <w:t>/api/glyph</w:t>
            </w:r>
            <w:r>
              <w:rPr>
                <w:rFonts w:ascii="Times New Roman" w:hAnsi="Times New Roman" w:eastAsia="바탕"/>
                <w:sz w:val="20"/>
              </w:rPr>
              <w:t xml:space="preserve"> writes the list of concepts it could not build to a file. That list is the basis for deciding which morpheme to add next. It accumulates in the order users actually encountered them.</w:t>
            </w:r>
          </w:p>
          <w:p>
            <w:pPr>
              <w:spacing w:before="180" w:after="40"/>
            </w:pPr>
            <w:r>
              <w:rPr>
                <w:rFonts w:ascii="Times New Roman" w:hAnsi="Times New Roman" w:eastAsia="바탕"/>
                <w:b/>
                <w:sz w:val="23"/>
              </w:rPr>
              <w:t>2.4 Deriving a per-person verdict threshold</w:t>
            </w:r>
          </w:p>
          <w:p>
            <w:pPr>
              <w:spacing w:after="80" w:line="276" w:lineRule="auto"/>
              <w:jc w:val="both"/>
            </w:pPr>
            <w:r>
              <w:rPr>
                <w:rFonts w:ascii="Times New Roman" w:hAnsi="Times New Roman" w:eastAsia="바탕"/>
                <w:sz w:val="20"/>
              </w:rPr>
              <w:t>SnapCare is not a tool that reads labels aloud but one that reaches a verdict. And that verdict differs from user to user.</w:t>
            </w:r>
          </w:p>
          <w:p>
            <w:pPr>
              <w:spacing w:after="80" w:line="276" w:lineRule="auto"/>
              <w:jc w:val="both"/>
            </w:pPr>
            <w:r>
              <w:rPr>
                <w:rFonts w:ascii="Times New Roman" w:hAnsi="Times New Roman" w:eastAsia="바탕"/>
                <w:sz w:val="20"/>
              </w:rPr>
              <w:t xml:space="preserve">Most World Health Organization nutrition recommendations are stated as a share of total energy. Free sugars are less than 10% of total energy (equivalent to 50 g, with possible additional benefit from reducing further to 5% or below), saturated fat less than 10%, and trans fat less than 1%. Only salt is given as an absolute amount, less than 5 g a day for adults (2 g sodium), with children needing less in proportion to their energy intake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This manner of statement matters. Because the recommendations themselves are written as proportions, the correct implementation of the guidance is to derive from that person's energy requirement rather than to hold a fixed table of gram figures. The result is that the same can of drink becomes a warning for a seven-year-old and harmless for an adult.</w:t>
            </w:r>
          </w:p>
          <w:p>
            <w:pPr>
              <w:spacing w:after="80" w:line="276" w:lineRule="auto"/>
              <w:jc w:val="both"/>
            </w:pPr>
            <w:r>
              <w:rPr>
                <w:rFonts w:ascii="Times New Roman" w:hAnsi="Times New Roman" w:eastAsia="바탕"/>
                <w:sz w:val="20"/>
              </w:rPr>
              <w:t>The derivation is six lines in total.</w:t>
            </w:r>
          </w:p>
          <w:p>
            <w:pPr>
              <w:spacing w:after="160"/>
            </w:pPr>
            <w:r>
              <w:rPr>
                <w:rFonts w:ascii="Consolas" w:hAnsi="Consolas" w:eastAsia="Consolas"/>
                <w:sz w:val="18"/>
              </w:rPr>
              <w:t>/** Age band → representative age. The value picked as a picture in the profile</w:t>
              <w:br/>
              <w:t xml:space="preserve"> *  takes precedence over string parsing.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Converting WHO percentage recommendations to grams — this derivation is the</w:t>
              <w:br/>
              <w:t xml:space="preserve">  // core of the engine.</w:t>
              <w:br/>
              <w:t xml:space="preserve">  const sugarsLimit = (energyKcal * 0.10) / KCAL_PER_G.carb;   // free sugars &lt;10 %E</w:t>
              <w:br/>
              <w:t xml:space="preserve">  const satFatLimit = (energyKcal * 0.10) / KCAL_PER_G.fat;    // saturated fat &lt;10 %E</w:t>
              <w:br/>
              <w:br/>
              <w:t xml:space="preserve">  // Salt and fibre are absolute recommendations → scale down for children by</w:t>
              <w:br/>
              <w:t xml:space="preserve">  // the ratio of energy requirement</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Design intent. Age is folded into four representative values. The user picks one of four pictures rather than entering a number (§3.2), so all the app knows is the band. Computing with the band left as a band would mean hand-building a table of thresholds per band, and then the table would have to be rebuilt whenever WHO guidance changed, with no one able to check where it came from. Folding to a single representative age makes the computation follow the wording of the recommendation directly.</w:t>
            </w:r>
          </w:p>
          <w:p>
            <w:pPr>
              <w:spacing w:after="80" w:line="276" w:lineRule="auto"/>
              <w:jc w:val="both"/>
            </w:pPr>
            <w:r>
              <w:rPr>
                <w:rFonts w:ascii="Times New Roman" w:hAnsi="Times New Roman" w:eastAsia="바탕"/>
                <w:sz w:val="20"/>
              </w:rPr>
              <w:t xml:space="preserve">There is judgement in </w:t>
            </w:r>
            <w:r>
              <w:rPr>
                <w:rFonts w:ascii="Consolas" w:hAnsi="Consolas" w:eastAsia="Consolas"/>
                <w:sz w:val="19"/>
              </w:rPr>
              <w:t>Math.min(1, energyRatio)</w:t>
            </w:r>
            <w:r>
              <w:rPr>
                <w:rFonts w:ascii="Times New Roman" w:hAnsi="Times New Roman" w:eastAsia="바탕"/>
                <w:sz w:val="20"/>
              </w:rPr>
              <w:t xml:space="preserve"> as well. Salt and fibre are recommended as absolute amounts and cannot be converted proportionally. Children are scaled down in proportion to energy requirement (the very recommendation underlying §2.4 says children should have less according to their energy intake), but someone who eats more than an adult does not get a raised salt limit. The recommendation is a ceiling.</w:t>
            </w:r>
          </w:p>
          <w:p>
            <w:pPr>
              <w:spacing w:after="80" w:line="276" w:lineRule="auto"/>
              <w:jc w:val="both"/>
            </w:pPr>
            <w:r>
              <w:rPr>
                <w:rFonts w:ascii="Times New Roman" w:hAnsi="Times New Roman" w:eastAsia="바탕"/>
                <w:sz w:val="20"/>
              </w:rPr>
              <w:t xml:space="preserve">Returning the </w:t>
            </w:r>
            <w:r>
              <w:rPr>
                <w:rFonts w:ascii="Consolas" w:hAnsi="Consolas" w:eastAsia="Consolas"/>
                <w:sz w:val="19"/>
              </w:rPr>
              <w:t>basis</w:t>
            </w:r>
            <w:r>
              <w:rPr>
                <w:rFonts w:ascii="Times New Roman" w:hAnsi="Times New Roman" w:eastAsia="바탕"/>
                <w:sz w:val="20"/>
              </w:rPr>
              <w:t xml:space="preserve"> string alongside is also deliberate. "1,800 kcal at age 70, free sugars under 10%" appears on screen exactly as written (Figure 22(b)). If the user cannot see where a verdict came from, there is no way for them to examine it.</w:t>
            </w:r>
          </w:p>
          <w:p>
            <w:pPr>
              <w:spacing w:after="80" w:line="276" w:lineRule="auto"/>
              <w:jc w:val="both"/>
            </w:pPr>
            <w:r>
              <w:rPr>
                <w:rFonts w:ascii="Times New Roman" w:hAnsi="Times New Roman" w:eastAsia="바탕"/>
                <w:sz w:val="20"/>
              </w:rPr>
              <w:t>What this derivation actually produces is set down here for the four age bands. These are the values the six lines above return.</w:t>
            </w:r>
          </w:p>
          <w:p>
            <w:pPr>
              <w:spacing w:after="80" w:line="276" w:lineRule="auto"/>
              <w:jc w:val="both"/>
            </w:pPr>
            <w:r>
              <w:rPr>
                <w:rFonts w:ascii="Times New Roman" w:hAnsi="Times New Roman" w:eastAsia="바탕"/>
                <w:sz w:val="20"/>
              </w:rPr>
              <w:t>[Table 10] Daily references by age band (output of the code above)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Age band</w:t>
                  </w:r>
                </w:p>
              </w:tc>
              <w:tc>
                <w:tcPr>
                  <w:tcW w:type="dxa" w:w="1221"/>
                  <w:shd w:val="clear" w:fill="F2F2F2"/>
                </w:tcPr>
                <w:p>
                  <w:r>
                    <w:rPr>
                      <w:rFonts w:ascii="Times New Roman" w:hAnsi="Times New Roman" w:eastAsia="바탕"/>
                      <w:b/>
                      <w:sz w:val="18"/>
                    </w:rPr>
                    <w:t>Energy</w:t>
                  </w:r>
                </w:p>
              </w:tc>
              <w:tc>
                <w:tcPr>
                  <w:tcW w:type="dxa" w:w="1221"/>
                  <w:shd w:val="clear" w:fill="F2F2F2"/>
                </w:tcPr>
                <w:p>
                  <w:r>
                    <w:rPr>
                      <w:rFonts w:ascii="Times New Roman" w:hAnsi="Times New Roman" w:eastAsia="바탕"/>
                      <w:b/>
                      <w:sz w:val="18"/>
                    </w:rPr>
                    <w:t>Free sugars</w:t>
                  </w:r>
                </w:p>
              </w:tc>
              <w:tc>
                <w:tcPr>
                  <w:tcW w:type="dxa" w:w="1221"/>
                  <w:shd w:val="clear" w:fill="F2F2F2"/>
                </w:tcPr>
                <w:p>
                  <w:r>
                    <w:rPr>
                      <w:rFonts w:ascii="Times New Roman" w:hAnsi="Times New Roman" w:eastAsia="바탕"/>
                      <w:b/>
                      <w:sz w:val="18"/>
                    </w:rPr>
                    <w:t>Saturated fat</w:t>
                  </w:r>
                </w:p>
              </w:tc>
              <w:tc>
                <w:tcPr>
                  <w:tcW w:type="dxa" w:w="1221"/>
                  <w:shd w:val="clear" w:fill="F2F2F2"/>
                </w:tcPr>
                <w:p>
                  <w:r>
                    <w:rPr>
                      <w:rFonts w:ascii="Times New Roman" w:hAnsi="Times New Roman" w:eastAsia="바탕"/>
                      <w:b/>
                      <w:sz w:val="18"/>
                    </w:rPr>
                    <w:t>Fat</w:t>
                  </w:r>
                </w:p>
              </w:tc>
              <w:tc>
                <w:tcPr>
                  <w:tcW w:type="dxa" w:w="1221"/>
                  <w:shd w:val="clear" w:fill="F2F2F2"/>
                </w:tcPr>
                <w:p>
                  <w:r>
                    <w:rPr>
                      <w:rFonts w:ascii="Times New Roman" w:hAnsi="Times New Roman" w:eastAsia="바탕"/>
                      <w:b/>
                      <w:sz w:val="18"/>
                    </w:rPr>
                    <w:t>Salt</w:t>
                  </w:r>
                </w:p>
              </w:tc>
              <w:tc>
                <w:tcPr>
                  <w:tcW w:type="dxa" w:w="1221"/>
                  <w:shd w:val="clear" w:fill="F2F2F2"/>
                </w:tcPr>
                <w:p>
                  <w:r>
                    <w:rPr>
                      <w:rFonts w:ascii="Times New Roman" w:hAnsi="Times New Roman" w:eastAsia="바탕"/>
                      <w:b/>
                      <w:sz w:val="18"/>
                    </w:rPr>
                    <w:t>Fibre</w:t>
                  </w:r>
                </w:p>
              </w:tc>
              <w:tc>
                <w:tcPr>
                  <w:tcW w:type="dxa" w:w="1221"/>
                  <w:shd w:val="clear" w:fill="F2F2F2"/>
                </w:tcPr>
                <w:p>
                  <w:r>
                    <w:rPr>
                      <w:rFonts w:ascii="Times New Roman" w:hAnsi="Times New Roman" w:eastAsia="바탕"/>
                      <w:b/>
                      <w:sz w:val="18"/>
                    </w:rPr>
                    <w:t>Protein</w:t>
                  </w:r>
                </w:p>
              </w:tc>
            </w:tr>
            <w:tr>
              <w:tc>
                <w:tcPr>
                  <w:tcW w:type="dxa" w:w="1221"/>
                </w:tcPr>
                <w:p>
                  <w:r>
                    <w:rPr>
                      <w:rFonts w:ascii="Times New Roman" w:hAnsi="Times New Roman" w:eastAsia="바탕"/>
                      <w:sz w:val="18"/>
                    </w:rPr>
                    <w:t>Child (7)</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Teenager (15)</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Adult (35)</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Older adult (70)</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The table is included so that a reviewer can check the arithmetic. On the deployment, the home screen in Figure 15 shows 27.5 g of free sugars as 61%, and 27.5 divided by 45 is 61.1%. The percentage on screen comes straight out of the derivation in this table.</w:t>
            </w:r>
          </w:p>
          <w:p>
            <w:pPr>
              <w:spacing w:after="80" w:line="276" w:lineRule="auto"/>
              <w:jc w:val="both"/>
            </w:pPr>
            <w:r>
              <w:rPr>
                <w:rFonts w:ascii="Times New Roman" w:hAnsi="Times New Roman" w:eastAsia="바탕"/>
                <w:sz w:val="20"/>
              </w:rPr>
              <w:t>The table also shows that child and older adult share an energy figure of 1,800 kcal while their protein targets part at 23.2 g and 49.8 g. Protein alone is derived from body weight (0.83 g per kg), with the representative weight set at 28 kg for a child and 60 kg for an older adult.</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20]</w:t>
            </w:r>
            <w:r>
              <w:rPr>
                <w:rFonts w:ascii="Times New Roman" w:hAnsi="Times New Roman" w:eastAsia="바탕"/>
                <w:color w:val="606068"/>
                <w:sz w:val="18"/>
              </w:rPr>
              <w:t xml:space="preserve"> The path by which the verdict threshold is derived. The user chooses only the two boxes at the top; the rest is computation. It is a derivation rather than a table because the WHO recommendation is itself written as a proportion of total energy, so when the recommendation changes one constant is edited instead of a table being rebuilt.</w:t>
            </w:r>
          </w:p>
          <w:p>
            <w:pPr>
              <w:spacing w:after="80" w:line="276" w:lineRule="auto"/>
              <w:jc w:val="both"/>
            </w:pPr>
            <w:r>
              <w:rPr>
                <w:rFonts w:ascii="Times New Roman" w:hAnsi="Times New Roman" w:eastAsia="바탕"/>
                <w:sz w:val="20"/>
              </w:rPr>
              <w:t>The pharmacy segment of §5.7 twice pointed at a risk this derivation can create. Professor and pharmacist So-Young Lee of Chungnam National University wrote that an interaction warning can itself prompt unilateral discontinuation.</w:t>
            </w:r>
          </w:p>
          <w:p>
            <w:pPr>
              <w:spacing w:after="40" w:line="276" w:lineRule="auto"/>
              <w:ind w:left="403"/>
            </w:pPr>
            <w:r>
              <w:rPr>
                <w:rFonts w:ascii="Times New Roman" w:hAnsi="Times New Roman" w:eastAsia="바탕"/>
                <w:i/>
                <w:color w:val="606068"/>
                <w:sz w:val="19"/>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p>
            <w:pPr>
              <w:spacing w:after="180" w:line="276" w:lineRule="auto"/>
              <w:ind w:left="403"/>
            </w:pPr>
            <w:r>
              <w:rPr>
                <w:rFonts w:ascii="Times New Roman" w:hAnsi="Times New Roman" w:eastAsia="바탕"/>
                <w:i w:val="0"/>
                <w:color w:val="606068"/>
                <w:sz w:val="19"/>
              </w:rPr>
              <w:t>(Professor and pharmacist So-Young Lee, Chungnam National University)</w:t>
            </w:r>
          </w:p>
          <w:p>
            <w:pPr>
              <w:spacing w:after="80" w:line="276" w:lineRule="auto"/>
              <w:jc w:val="both"/>
            </w:pPr>
            <w:r>
              <w:rPr>
                <w:rFonts w:ascii="Times New Roman" w:hAnsi="Times New Roman" w:eastAsia="바탕"/>
                <w:sz w:val="20"/>
              </w:rPr>
              <w:t>Professor Katarina Vučićević of the University of Belgrade in Serbia offered one answer: attach an instruction to contact the doctor or pharmacist to the warning. As it stands this app says only what not to do on an avoid verdict and does not say whom to ask. The design of this section, which made the verdict a derivation, was treating the verdict as an endpoint.</w:t>
            </w:r>
          </w:p>
          <w:p>
            <w:pPr>
              <w:spacing w:after="80" w:line="276" w:lineRule="auto"/>
              <w:jc w:val="both"/>
            </w:pPr>
            <w:r>
              <w:rPr>
                <w:rFonts w:ascii="Times New Roman" w:hAnsi="Times New Roman" w:eastAsia="바탕"/>
                <w:sz w:val="20"/>
              </w:rPr>
              <w:t>The user's conditions are then added. Diabetes narrows the sugar threshold, taking a blood thinner makes ibuprofen-class drugs something to avoid, and pregnancy or breastfeeding changes the contraindication list.</w:t>
            </w:r>
          </w:p>
          <w:p>
            <w:pPr>
              <w:spacing w:before="180" w:after="40"/>
            </w:pPr>
            <w:r>
              <w:rPr>
                <w:rFonts w:ascii="Times New Roman" w:hAnsi="Times New Roman" w:eastAsia="바탕"/>
                <w:b/>
                <w:sz w:val="23"/>
              </w:rPr>
              <w:t>2.5 Collecting conditions and inferring allergies</w:t>
            </w:r>
          </w:p>
          <w:p>
            <w:pPr>
              <w:spacing w:after="80" w:line="276" w:lineRule="auto"/>
              <w:jc w:val="both"/>
            </w:pPr>
            <w:r>
              <w:rPr>
                <w:rFonts w:ascii="Times New Roman" w:hAnsi="Times New Roman" w:eastAsia="바탕"/>
                <w:sz w:val="20"/>
              </w:rPr>
              <w:t xml:space="preserve">As established in the previous section, about 43% of adults with diabetes do not know they have it (International Diabetes Federation, </w:t>
            </w:r>
            <w:r>
              <w:rPr>
                <w:rFonts w:ascii="Times New Roman" w:hAnsi="Times New Roman" w:eastAsia="바탕"/>
                <w:i/>
                <w:sz w:val="20"/>
              </w:rPr>
              <w:t>IDF Diabetes Atlas</w:t>
            </w:r>
            <w:r>
              <w:rPr>
                <w:rFonts w:ascii="Times New Roman" w:hAnsi="Times New Roman" w:eastAsia="바탕"/>
                <w:sz w:val="20"/>
              </w:rPr>
              <w:t>, 11th ed., 2025), and for allergies there is a large gap between self-report and confirmed diagnosis.</w:t>
            </w:r>
          </w:p>
          <w:p>
            <w:pPr>
              <w:spacing w:after="80" w:line="276" w:lineRule="auto"/>
              <w:jc w:val="both"/>
            </w:pPr>
            <w:r>
              <w:rPr>
                <w:rFonts w:ascii="Times New Roman" w:hAnsi="Times New Roman" w:eastAsia="바탕"/>
                <w:sz w:val="20"/>
              </w:rPr>
              <w:t>The question "what are you allergic to" can therefore only be answered by someone who has been tested. SnapCare splits this question three ways.</w:t>
            </w:r>
          </w:p>
          <w:p>
            <w:pPr>
              <w:spacing w:after="80" w:line="276" w:lineRule="auto"/>
              <w:jc w:val="both"/>
            </w:pPr>
            <w:r>
              <w:rPr>
                <w:rFonts w:ascii="Times New Roman" w:hAnsi="Times New Roman" w:eastAsia="바탕"/>
                <w:sz w:val="20"/>
              </w:rPr>
              <w:t>[Table 11] How conditions are asked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Branch</w:t>
                  </w:r>
                </w:p>
              </w:tc>
              <w:tc>
                <w:tcPr>
                  <w:tcW w:type="dxa" w:w="3255"/>
                  <w:shd w:val="clear" w:fill="F2F2F2"/>
                </w:tcPr>
                <w:p>
                  <w:r>
                    <w:rPr>
                      <w:rFonts w:ascii="Times New Roman" w:hAnsi="Times New Roman" w:eastAsia="바탕"/>
                      <w:b/>
                      <w:sz w:val="18"/>
                    </w:rPr>
                    <w:t>Form of the question</w:t>
                  </w:r>
                </w:p>
              </w:tc>
              <w:tc>
                <w:tcPr>
                  <w:tcW w:type="dxa" w:w="3255"/>
                  <w:shd w:val="clear" w:fill="F2F2F2"/>
                </w:tcPr>
                <w:p>
                  <w:r>
                    <w:rPr>
                      <w:rFonts w:ascii="Times New Roman" w:hAnsi="Times New Roman" w:eastAsia="바탕"/>
                      <w:b/>
                      <w:sz w:val="18"/>
                    </w:rPr>
                    <w:t>Example</w:t>
                  </w:r>
                </w:p>
              </w:tc>
            </w:tr>
            <w:tr>
              <w:tc>
                <w:tcPr>
                  <w:tcW w:type="dxa" w:w="3255"/>
                </w:tcPr>
                <w:p>
                  <w:r>
                    <w:rPr>
                      <w:rFonts w:ascii="Times New Roman" w:hAnsi="Times New Roman" w:eastAsia="바탕"/>
                      <w:sz w:val="18"/>
                    </w:rPr>
                    <w:t>What you know now</w:t>
                  </w:r>
                </w:p>
              </w:tc>
              <w:tc>
                <w:tcPr>
                  <w:tcW w:type="dxa" w:w="3255"/>
                </w:tcPr>
                <w:p>
                  <w:r>
                    <w:rPr>
                      <w:rFonts w:ascii="Times New Roman" w:hAnsi="Times New Roman" w:eastAsia="바탕"/>
                      <w:sz w:val="18"/>
                    </w:rPr>
                    <w:t>Current state</w:t>
                  </w:r>
                </w:p>
              </w:tc>
              <w:tc>
                <w:tcPr>
                  <w:tcW w:type="dxa" w:w="3255"/>
                </w:tcPr>
                <w:p>
                  <w:r>
                    <w:rPr>
                      <w:rFonts w:ascii="Times New Roman" w:hAnsi="Times New Roman" w:eastAsia="바탕"/>
                      <w:sz w:val="18"/>
                    </w:rPr>
                    <w:t>Pregnant, breastfeeding</w:t>
                  </w:r>
                </w:p>
              </w:tc>
            </w:tr>
            <w:tr>
              <w:tc>
                <w:tcPr>
                  <w:tcW w:type="dxa" w:w="3255"/>
                </w:tcPr>
                <w:p>
                  <w:r>
                    <w:rPr>
                      <w:rFonts w:ascii="Times New Roman" w:hAnsi="Times New Roman" w:eastAsia="바탕"/>
                      <w:sz w:val="18"/>
                    </w:rPr>
                    <w:t>What you have experienced</w:t>
                  </w:r>
                </w:p>
              </w:tc>
              <w:tc>
                <w:tcPr>
                  <w:tcW w:type="dxa" w:w="3255"/>
                </w:tcPr>
                <w:p>
                  <w:r>
                    <w:rPr>
                      <w:rFonts w:ascii="Times New Roman" w:hAnsi="Times New Roman" w:eastAsia="바탕"/>
                      <w:sz w:val="18"/>
                    </w:rPr>
                    <w:t>Experience</w:t>
                  </w:r>
                </w:p>
              </w:tc>
              <w:tc>
                <w:tcPr>
                  <w:tcW w:type="dxa" w:w="3255"/>
                </w:tcPr>
                <w:p>
                  <w:r>
                    <w:rPr>
                      <w:rFonts w:ascii="Times New Roman" w:hAnsi="Times New Roman" w:eastAsia="바탕"/>
                      <w:sz w:val="18"/>
                    </w:rPr>
                    <w:t>Ever felt unwell after eating something</w:t>
                  </w:r>
                </w:p>
              </w:tc>
            </w:tr>
            <w:tr>
              <w:tc>
                <w:tcPr>
                  <w:tcW w:type="dxa" w:w="3255"/>
                </w:tcPr>
                <w:p>
                  <w:r>
                    <w:rPr>
                      <w:rFonts w:ascii="Times New Roman" w:hAnsi="Times New Roman" w:eastAsia="바탕"/>
                      <w:sz w:val="18"/>
                    </w:rPr>
                    <w:t>What you have been told</w:t>
                  </w:r>
                </w:p>
              </w:tc>
              <w:tc>
                <w:tcPr>
                  <w:tcW w:type="dxa" w:w="3255"/>
                </w:tcPr>
                <w:p>
                  <w:r>
                    <w:rPr>
                      <w:rFonts w:ascii="Times New Roman" w:hAnsi="Times New Roman" w:eastAsia="바탕"/>
                      <w:sz w:val="18"/>
                    </w:rPr>
                    <w:t>Diagnosis</w:t>
                  </w:r>
                </w:p>
              </w:tc>
              <w:tc>
                <w:tcPr>
                  <w:tcW w:type="dxa" w:w="3255"/>
                </w:tcPr>
                <w:p>
                  <w:r>
                    <w:rPr>
                      <w:rFonts w:ascii="Times New Roman" w:hAnsi="Times New Roman" w:eastAsia="바탕"/>
                      <w:sz w:val="18"/>
                    </w:rPr>
                    <w:t>Diabetes, hypertension</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21]</w:t>
            </w:r>
            <w:r>
              <w:rPr>
                <w:rFonts w:ascii="Times New Roman" w:hAnsi="Times New Roman" w:eastAsia="바탕"/>
                <w:color w:val="606068"/>
                <w:sz w:val="18"/>
              </w:rPr>
              <w:t xml:space="preserve"> The three ways of asking about conditions (§2.5). The further right, the fewer people can answer. Existing apps ask only the third column, and as established in §1.5, 43% of adults with diabetes and 44% of adults with hypertension cannot answer it. That is why the first two columns are there.</w:t>
            </w:r>
          </w:p>
          <w:p>
            <w:pPr>
              <w:spacing w:after="80" w:line="276" w:lineRule="auto"/>
              <w:jc w:val="both"/>
            </w:pPr>
            <w:r>
              <w:rPr>
                <w:rFonts w:ascii="Times New Roman" w:hAnsi="Times New Roman" w:eastAsia="바탕"/>
                <w:sz w:val="20"/>
              </w:rPr>
              <w:t>The app also infers allergies the user does not know about. It runs Fisher's exact test over the food diary to find ingredients recurring in meals after which the user felt unwell. A minimum evidence threshold and multiple-comparison correction (Bonferroni) are applied, and the result is presented as an observation rather than a diagnosis and is not written into the profile until the user confirms it.</w:t>
            </w:r>
          </w:p>
          <w:p>
            <w:pPr>
              <w:spacing w:after="80" w:line="276" w:lineRule="auto"/>
              <w:jc w:val="both"/>
            </w:pPr>
            <w:r>
              <w:rPr>
                <w:rFonts w:ascii="Times New Roman" w:hAnsi="Times New Roman" w:eastAsia="바탕"/>
                <w:sz w:val="20"/>
              </w:rPr>
              <w:t>Whether this inference stays silent when it should has been pinned down with tests. In a feature that puts statistical inference on screen, the dangerous side is not missing something but declaring something that is not there. The tests confirm the following. It flags an ingredient when trouble recurs with that one ingredient, it does not flag on coincidental overlap alone, it says nothing when records are few no matter how high the proportion, and it does not allow the comparison at all when there are no meals without trouble to serve as a control. It also raises the bar as more ingredients are examined, does not count unanswered meals as data, and does not group peanuts together with tree nuts. Fisher's test itself is pinned against known values.</w:t>
            </w:r>
          </w:p>
          <w:p>
            <w:pPr>
              <w:spacing w:after="80" w:line="276" w:lineRule="auto"/>
              <w:jc w:val="both"/>
            </w:pPr>
            <w:r>
              <w:rPr>
                <w:rFonts w:ascii="Times New Roman" w:hAnsi="Times New Roman" w:eastAsia="바탕"/>
                <w:sz w:val="20"/>
              </w:rPr>
              <w:t>The pattern of symptoms is considered too. Hives and swelling, which suggest allergy, are separated from bloating, which suggests intolerance, so that the same ingredient may be presented one way or the other. Being told it is an allergy and being told something is hard to digest lead the user to different actions.</w:t>
            </w:r>
          </w:p>
          <w:p>
            <w:pPr>
              <w:spacing w:after="80" w:line="276" w:lineRule="auto"/>
              <w:jc w:val="both"/>
            </w:pPr>
            <w:r>
              <w:rPr>
                <w:rFonts w:ascii="Times New Roman" w:hAnsi="Times New Roman" w:eastAsia="바탕"/>
                <w:sz w:val="20"/>
              </w:rPr>
              <w:t>The conditions for staying silent are longer than the test itself.</w:t>
            </w:r>
          </w:p>
          <w:p>
            <w:pPr>
              <w:spacing w:after="160"/>
            </w:pPr>
            <w:r>
              <w:rPr>
                <w:rFonts w:ascii="Consolas" w:hAnsi="Consolas" w:eastAsia="Consolas"/>
                <w:sz w:val="18"/>
              </w:rPr>
              <w:t>export function findTriggers(log: MealFeedback[]): SuspectedTrigger[] {</w:t>
              <w:br/>
              <w:t xml:space="preserve">  // Only ingredients that actually appear in the log are tested. Testing an</w:t>
              <w:br/>
              <w:t xml:space="preserve">  // ingredient never eaten only inflates the Bonferroni denominator and kills</w:t>
              <w:br/>
              <w:t xml:space="preserve">  // the real signal.</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The four values form a 2x2 table: </w:t>
            </w:r>
            <w:r>
              <w:rPr>
                <w:rFonts w:ascii="Consolas" w:hAnsi="Consolas" w:eastAsia="Consolas"/>
                <w:sz w:val="19"/>
              </w:rPr>
              <w:t>a</w:t>
            </w:r>
            <w:r>
              <w:rPr>
                <w:rFonts w:ascii="Times New Roman" w:hAnsi="Times New Roman" w:eastAsia="바탕"/>
                <w:sz w:val="20"/>
              </w:rPr>
              <w:t xml:space="preserve"> is the number of times the ingredient was eaten and the person felt unwell, </w:t>
            </w:r>
            <w:r>
              <w:rPr>
                <w:rFonts w:ascii="Consolas" w:hAnsi="Consolas" w:eastAsia="Consolas"/>
                <w:sz w:val="19"/>
              </w:rPr>
              <w:t>b</w:t>
            </w:r>
            <w:r>
              <w:rPr>
                <w:rFonts w:ascii="Times New Roman" w:hAnsi="Times New Roman" w:eastAsia="바탕"/>
                <w:sz w:val="20"/>
              </w:rPr>
              <w:t xml:space="preserve"> eaten and fine, </w:t>
            </w:r>
            <w:r>
              <w:rPr>
                <w:rFonts w:ascii="Consolas" w:hAnsi="Consolas" w:eastAsia="Consolas"/>
                <w:sz w:val="19"/>
              </w:rPr>
              <w:t>c</w:t>
            </w:r>
            <w:r>
              <w:rPr>
                <w:rFonts w:ascii="Times New Roman" w:hAnsi="Times New Roman" w:eastAsia="바탕"/>
                <w:sz w:val="20"/>
              </w:rPr>
              <w:t xml:space="preserve"> not eaten and unwell, </w:t>
            </w:r>
            <w:r>
              <w:rPr>
                <w:rFonts w:ascii="Consolas" w:hAnsi="Consolas" w:eastAsia="Consolas"/>
                <w:sz w:val="19"/>
              </w:rPr>
              <w:t>d</w:t>
            </w:r>
            <w:r>
              <w:rPr>
                <w:rFonts w:ascii="Times New Roman" w:hAnsi="Times New Roman" w:eastAsia="바탕"/>
                <w:sz w:val="20"/>
              </w:rPr>
              <w:t xml:space="preserve"> not eaten and fine. Design intent. The two </w:t>
            </w:r>
            <w:r>
              <w:rPr>
                <w:rFonts w:ascii="Consolas" w:hAnsi="Consolas" w:eastAsia="Consolas"/>
                <w:sz w:val="19"/>
              </w:rPr>
              <w:t>continue</w:t>
            </w:r>
            <w:r>
              <w:rPr>
                <w:rFonts w:ascii="Times New Roman" w:hAnsi="Times New Roman" w:eastAsia="바탕"/>
                <w:sz w:val="20"/>
              </w:rPr>
              <w:t xml:space="preserve"> lines are most of what this function does. The first looks at the amount of evidence: the number of times trouble occurred, the number of times the ingredient was eaten, and the number of meals without it. Without the last, the comparison does not hold, because an ingredient present in every meal was present on every occasion of trouble and would pass any test at all.</w:t>
            </w:r>
          </w:p>
          <w:p>
            <w:pPr>
              <w:spacing w:after="80" w:line="276" w:lineRule="auto"/>
              <w:jc w:val="both"/>
            </w:pPr>
            <w:r>
              <w:rPr>
                <w:rFonts w:ascii="Times New Roman" w:hAnsi="Times New Roman" w:eastAsia="바탕"/>
                <w:sz w:val="20"/>
              </w:rPr>
              <w:t xml:space="preserve">The threshold on the second line is </w:t>
            </w:r>
            <w:r>
              <w:rPr>
                <w:rFonts w:ascii="Consolas" w:hAnsi="Consolas" w:eastAsia="Consolas"/>
                <w:sz w:val="19"/>
              </w:rPr>
              <w:t>ALPHA / number of ingredients tested</w:t>
            </w:r>
            <w:r>
              <w:rPr>
                <w:rFonts w:ascii="Times New Roman" w:hAnsi="Times New Roman" w:eastAsia="바탕"/>
                <w:sz w:val="20"/>
              </w:rPr>
              <w:t>. Examining ten ingredients makes the threshold one tenth. Putting twenty ingredients each against a 5% threshold catches about one even when nothing is related, and putting that one on screen as "you may be allergic to this" is the worst thing this feature could do.</w:t>
            </w:r>
          </w:p>
          <w:p>
            <w:pPr>
              <w:spacing w:after="80" w:line="276" w:lineRule="auto"/>
              <w:jc w:val="both"/>
            </w:pPr>
            <w:r>
              <w:rPr>
                <w:rFonts w:ascii="Times New Roman" w:hAnsi="Times New Roman" w:eastAsia="바탕"/>
                <w:sz w:val="20"/>
              </w:rPr>
              <w:t>Narrowing the tested set to ingredients that actually appear in the log follows the same reasoning. Including ingredients never eaten only enlarges the denominator and pushes the real signal below the threshold. A device for being conservative, carried too far, becomes a device for finding nothing.</w:t>
            </w:r>
          </w:p>
          <w:p>
            <w:pPr>
              <w:spacing w:after="80" w:line="276" w:lineRule="auto"/>
              <w:jc w:val="both"/>
            </w:pPr>
            <w:r>
              <w:rPr>
                <w:rFonts w:ascii="Times New Roman" w:hAnsi="Times New Roman" w:eastAsia="바탕"/>
                <w:sz w:val="20"/>
              </w:rPr>
              <w:t>Fisher's exact test was used because the samples are small. Chi-square cannot be used when expected frequencies fall below 5, and food diary tables always look like that. It is rare for a person to record eating one ingredient twenty times and how often trouble followed.</w:t>
            </w:r>
          </w:p>
          <w:p>
            <w:pPr>
              <w:spacing w:after="80" w:line="276" w:lineRule="auto"/>
              <w:jc w:val="both"/>
            </w:pPr>
            <w:r>
              <w:rPr>
                <w:rFonts w:ascii="Times New Roman" w:hAnsi="Times New Roman" w:eastAsia="바탕"/>
                <w:sz w:val="20"/>
              </w:rPr>
              <w:t>A response arrived that shakes the premise this whole section rests on. Asked whether the app could change health outcomes, Professor Namsoo Park of Hyupsung University answered:</w:t>
            </w:r>
          </w:p>
          <w:p>
            <w:pPr>
              <w:spacing w:after="40" w:line="276" w:lineRule="auto"/>
              <w:ind w:left="403"/>
            </w:pPr>
            <w:r>
              <w:rPr>
                <w:rFonts w:ascii="Times New Roman" w:hAnsi="Times New Roman" w:eastAsia="바탕"/>
                <w:i/>
                <w:color w:val="606068"/>
                <w:sz w:val="19"/>
              </w:rPr>
              <w:t>"(There is an instruction reading "select any that apply to you", for instance; if that instruction cannot be read, how is the app to be used well?)"</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This section says we ask the user for their conditions. But the instruction to pick conditions is itself text. Here is the place where an app built for people who cannot read puts a written question to them. §3.2 answers the same problem by having age chosen from four pictures, and the conditions screen is likewise picture and speech (Figure 21). Whether "select any that apply to you" itself carries without being read, however, we have not confirmed by asking people. Of everything §5.9 records as untested with people, this is the sorest place.</w:t>
            </w:r>
          </w:p>
          <w:p>
            <w:pPr>
              <w:spacing w:before="180" w:after="40"/>
            </w:pPr>
            <w:r>
              <w:rPr>
                <w:rFonts w:ascii="Times New Roman" w:hAnsi="Times New Roman" w:eastAsia="바탕"/>
                <w:b/>
                <w:sz w:val="23"/>
              </w:rPr>
              <w:t>2.6 How this differs from existing approaches</w:t>
            </w:r>
          </w:p>
          <w:p>
            <w:pPr>
              <w:spacing w:after="80" w:line="276" w:lineRule="auto"/>
              <w:jc w:val="both"/>
            </w:pPr>
            <w:r>
              <w:rPr>
                <w:rFonts w:ascii="Times New Roman" w:hAnsi="Times New Roman" w:eastAsia="바탕"/>
                <w:sz w:val="20"/>
              </w:rPr>
              <w:t>This section sets out how SnapCare differs from what already exists. Two comparators are taken. One is the general health and nutrition app, the other is the de facto standard for pharmaceutical pictograms, the United States Pharmacopeia set. The first says it addresses the same users but addresses them in text, and the second does not use text but cannot combine.</w:t>
            </w:r>
          </w:p>
          <w:p>
            <w:pPr>
              <w:spacing w:after="80" w:line="276" w:lineRule="auto"/>
              <w:jc w:val="both"/>
            </w:pPr>
            <w:r>
              <w:rPr>
                <w:rFonts w:ascii="Times New Roman" w:hAnsi="Times New Roman" w:eastAsia="바탕"/>
                <w:sz w:val="20"/>
              </w:rPr>
              <w:t>[Table 12] Existing approaches compared with SnapCare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Item</w:t>
                  </w:r>
                </w:p>
              </w:tc>
              <w:tc>
                <w:tcPr>
                  <w:tcW w:type="dxa" w:w="2441"/>
                  <w:shd w:val="clear" w:fill="F2F2F2"/>
                </w:tcPr>
                <w:p>
                  <w:r>
                    <w:rPr>
                      <w:rFonts w:ascii="Times New Roman" w:hAnsi="Times New Roman" w:eastAsia="바탕"/>
                      <w:b/>
                      <w:sz w:val="18"/>
                    </w:rPr>
                    <w:t>General health app</w:t>
                  </w:r>
                </w:p>
              </w:tc>
              <w:tc>
                <w:tcPr>
                  <w:tcW w:type="dxa" w:w="2441"/>
                  <w:shd w:val="clear" w:fill="F2F2F2"/>
                </w:tcPr>
                <w:p>
                  <w:r>
                    <w:rPr>
                      <w:rFonts w:ascii="Times New Roman" w:hAnsi="Times New Roman" w:eastAsia="바탕"/>
                      <w:b/>
                      <w:sz w:val="18"/>
                    </w:rPr>
                    <w:t>USP pictogram standard</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Input</w:t>
                  </w:r>
                </w:p>
              </w:tc>
              <w:tc>
                <w:tcPr>
                  <w:tcW w:type="dxa" w:w="2441"/>
                </w:tcPr>
                <w:p>
                  <w:r>
                    <w:rPr>
                      <w:rFonts w:ascii="Times New Roman" w:hAnsi="Times New Roman" w:eastAsia="바탕"/>
                      <w:sz w:val="18"/>
                    </w:rPr>
                    <w:t>Typing and search</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One photograph</w:t>
                  </w:r>
                </w:p>
              </w:tc>
            </w:tr>
            <w:tr>
              <w:tc>
                <w:tcPr>
                  <w:tcW w:type="dxa" w:w="2441"/>
                </w:tcPr>
                <w:p>
                  <w:r>
                    <w:rPr>
                      <w:rFonts w:ascii="Times New Roman" w:hAnsi="Times New Roman" w:eastAsia="바탕"/>
                      <w:sz w:val="18"/>
                    </w:rPr>
                    <w:t>Output</w:t>
                  </w:r>
                </w:p>
              </w:tc>
              <w:tc>
                <w:tcPr>
                  <w:tcW w:type="dxa" w:w="2441"/>
                </w:tcPr>
                <w:p>
                  <w:r>
                    <w:rPr>
                      <w:rFonts w:ascii="Times New Roman" w:hAnsi="Times New Roman" w:eastAsia="바탕"/>
                      <w:sz w:val="18"/>
                    </w:rPr>
                    <w:t>Mostly text</w:t>
                  </w:r>
                </w:p>
              </w:tc>
              <w:tc>
                <w:tcPr>
                  <w:tcW w:type="dxa" w:w="2441"/>
                </w:tcPr>
                <w:p>
                  <w:r>
                    <w:rPr>
                      <w:rFonts w:ascii="Times New Roman" w:hAnsi="Times New Roman" w:eastAsia="바탕"/>
                      <w:sz w:val="18"/>
                    </w:rPr>
                    <w:t>81 static pictures</w:t>
                  </w:r>
                </w:p>
              </w:tc>
              <w:tc>
                <w:tcPr>
                  <w:tcW w:type="dxa" w:w="2441"/>
                </w:tcPr>
                <w:p>
                  <w:r>
                    <w:rPr>
                      <w:rFonts w:ascii="Times New Roman" w:hAnsi="Times New Roman" w:eastAsia="바탕"/>
                      <w:sz w:val="18"/>
                    </w:rPr>
                    <w:t>Composed pictogram + speech + colour</w:t>
                  </w:r>
                </w:p>
              </w:tc>
            </w:tr>
            <w:tr>
              <w:tc>
                <w:tcPr>
                  <w:tcW w:type="dxa" w:w="2441"/>
                </w:tcPr>
                <w:p>
                  <w:r>
                    <w:rPr>
                      <w:rFonts w:ascii="Times New Roman" w:hAnsi="Times New Roman" w:eastAsia="바탕"/>
                      <w:sz w:val="18"/>
                    </w:rPr>
                    <w:t>Combination</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Prohibited by licence</w:t>
                  </w:r>
                </w:p>
              </w:tc>
              <w:tc>
                <w:tcPr>
                  <w:tcW w:type="dxa" w:w="2441"/>
                </w:tcPr>
                <w:p>
                  <w:r>
                    <w:rPr>
                      <w:rFonts w:ascii="Times New Roman" w:hAnsi="Times New Roman" w:eastAsia="바탕"/>
                      <w:sz w:val="18"/>
                    </w:rPr>
                    <w:t>Combined by grammar</w:t>
                  </w:r>
                </w:p>
              </w:tc>
            </w:tr>
            <w:tr>
              <w:tc>
                <w:tcPr>
                  <w:tcW w:type="dxa" w:w="2441"/>
                </w:tcPr>
                <w:p>
                  <w:r>
                    <w:rPr>
                      <w:rFonts w:ascii="Times New Roman" w:hAnsi="Times New Roman" w:eastAsia="바탕"/>
                      <w:sz w:val="18"/>
                    </w:rPr>
                    <w:t>Verdict threshold</w:t>
                  </w:r>
                </w:p>
              </w:tc>
              <w:tc>
                <w:tcPr>
                  <w:tcW w:type="dxa" w:w="2441"/>
                </w:tcPr>
                <w:p>
                  <w:r>
                    <w:rPr>
                      <w:rFonts w:ascii="Times New Roman" w:hAnsi="Times New Roman" w:eastAsia="바탕"/>
                      <w:sz w:val="18"/>
                    </w:rPr>
                    <w:t>Fixed table or none</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Derived from personal energy requirement</w:t>
                  </w:r>
                </w:p>
              </w:tc>
            </w:tr>
            <w:tr>
              <w:tc>
                <w:tcPr>
                  <w:tcW w:type="dxa" w:w="2441"/>
                </w:tcPr>
                <w:p>
                  <w:r>
                    <w:rPr>
                      <w:rFonts w:ascii="Times New Roman" w:hAnsi="Times New Roman" w:eastAsia="바탕"/>
                      <w:sz w:val="18"/>
                    </w:rPr>
                    <w:t>Assumption</w:t>
                  </w:r>
                </w:p>
              </w:tc>
              <w:tc>
                <w:tcPr>
                  <w:tcW w:type="dxa" w:w="2441"/>
                </w:tcPr>
                <w:p>
                  <w:r>
                    <w:rPr>
                      <w:rFonts w:ascii="Times New Roman" w:hAnsi="Times New Roman" w:eastAsia="바탕"/>
                      <w:sz w:val="18"/>
                    </w:rPr>
                    <w:t>User knows their diagnosis</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No diagnosis assumed</w:t>
                  </w:r>
                </w:p>
              </w:tc>
            </w:tr>
            <w:tr>
              <w:tc>
                <w:tcPr>
                  <w:tcW w:type="dxa" w:w="2441"/>
                </w:tcPr>
                <w:p>
                  <w:r>
                    <w:rPr>
                      <w:rFonts w:ascii="Times New Roman" w:hAnsi="Times New Roman" w:eastAsia="바탕"/>
                      <w:sz w:val="18"/>
                    </w:rPr>
                    <w:t>Comprehension check</w:t>
                  </w:r>
                </w:p>
              </w:tc>
              <w:tc>
                <w:tcPr>
                  <w:tcW w:type="dxa" w:w="2441"/>
                </w:tcPr>
                <w:p>
                  <w:r>
                    <w:rPr>
                      <w:rFonts w:ascii="Times New Roman" w:hAnsi="Times New Roman" w:eastAsia="바탕"/>
                      <w:sz w:val="18"/>
                    </w:rPr>
                    <w:t>None</w:t>
                  </w:r>
                </w:p>
              </w:tc>
              <w:tc>
                <w:tcPr>
                  <w:tcW w:type="dxa" w:w="2441"/>
                </w:tcPr>
                <w:p>
                  <w:r>
                    <w:rPr>
                      <w:rFonts w:ascii="Times New Roman" w:hAnsi="Times New Roman" w:eastAsia="바탕"/>
                      <w:sz w:val="18"/>
                    </w:rPr>
                    <w:t>Only post hoc studies</w:t>
                  </w:r>
                </w:p>
              </w:tc>
              <w:tc>
                <w:tcPr>
                  <w:tcW w:type="dxa" w:w="2441"/>
                </w:tcPr>
                <w:p>
                  <w:r>
                    <w:rPr>
                      <w:rFonts w:ascii="Times New Roman" w:hAnsi="Times New Roman" w:eastAsia="바탕"/>
                      <w:sz w:val="18"/>
                    </w:rPr>
                    <w:t>Measured automatically before release</w:t>
                  </w:r>
                </w:p>
              </w:tc>
            </w:tr>
            <w:tr>
              <w:tc>
                <w:tcPr>
                  <w:tcW w:type="dxa" w:w="2441"/>
                </w:tcPr>
                <w:p>
                  <w:r>
                    <w:rPr>
                      <w:rFonts w:ascii="Times New Roman" w:hAnsi="Times New Roman" w:eastAsia="바탕"/>
                      <w:sz w:val="18"/>
                    </w:rPr>
                    <w:t>Network</w:t>
                  </w:r>
                </w:p>
              </w:tc>
              <w:tc>
                <w:tcPr>
                  <w:tcW w:type="dxa" w:w="2441"/>
                </w:tcPr>
                <w:p>
                  <w:r>
                    <w:rPr>
                      <w:rFonts w:ascii="Times New Roman" w:hAnsi="Times New Roman" w:eastAsia="바탕"/>
                      <w:sz w:val="18"/>
                    </w:rPr>
                    <w:t>Required</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Verdict computed on device</w:t>
                  </w:r>
                </w:p>
              </w:tc>
            </w:tr>
          </w:tbl>
          <w:p/>
          <w:p>
            <w:pPr>
              <w:spacing w:after="120"/>
            </w:pPr>
          </w:p>
          <w:p>
            <w:pPr>
              <w:spacing w:after="80" w:line="276" w:lineRule="auto"/>
              <w:jc w:val="both"/>
            </w:pPr>
            <w:r>
              <w:rPr>
                <w:rFonts w:ascii="Times New Roman" w:hAnsi="Times New Roman" w:eastAsia="바탕"/>
                <w:sz w:val="20"/>
              </w:rPr>
              <w:t>The rows of the table are not independent of one another. Fixing the input as a single photograph in the first row means the user does not say what they photographed, so the app has to determine it itself (§3.3), and deciding in the fifth row not to assume a diagnosis changes how conditions are asked altogether (§2.5). Settling one brings the rest with it, and the starting point is the first constraint in §2.1.</w:t>
            </w:r>
          </w:p>
          <w:p>
            <w:pPr>
              <w:spacing w:after="80" w:line="276" w:lineRule="auto"/>
              <w:jc w:val="both"/>
            </w:pPr>
            <w:r>
              <w:rPr>
                <w:rFonts w:ascii="Times New Roman" w:hAnsi="Times New Roman" w:eastAsia="바탕"/>
                <w:sz w:val="20"/>
              </w:rPr>
              <w:t>The heaviest row in the table is the third, composition. As §1.9 showed, the USP set's licence forbids derivative works, so those 81 symbols cannot be joined to one another. Given that one prescription usually carries several instructions, that is not a small constraint. "Three times a day, with food, for a week" is three instructions, and with a fixed set there is nothing to do but place three pictures side by side. Composing by grammar means the combinations available from the same 78 morphemes are settled by a rule rather than by a list (§2.2).</w:t>
            </w:r>
          </w:p>
          <w:p>
            <w:pPr>
              <w:spacing w:after="80" w:line="276" w:lineRule="auto"/>
              <w:jc w:val="both"/>
            </w:pPr>
            <w:r>
              <w:rPr>
                <w:rFonts w:ascii="Times New Roman" w:hAnsi="Times New Roman" w:eastAsia="바탕"/>
                <w:sz w:val="20"/>
              </w:rPr>
              <w:t>The fourth row is larger than it looks as well. An app that judges from a fixed table applies one threshold, say "warn above 25 g of sugar", to every user. The WHO recommendation is itself written as a proportion of total energy, so that approach is the source rounded once. Derived as in §2.4, the same can of drink is a warning for a seven-year-old and not for an adult. This is a question of what is being measured, not of precision.</w:t>
            </w:r>
          </w:p>
          <w:p>
            <w:pPr>
              <w:spacing w:after="80" w:line="276" w:lineRule="auto"/>
              <w:jc w:val="both"/>
            </w:pPr>
            <w:r>
              <w:rPr>
                <w:rFonts w:ascii="Times New Roman" w:hAnsi="Times New Roman" w:eastAsia="바탕"/>
                <w:sz w:val="20"/>
              </w:rPr>
              <w:t>One row has to be read again against the survey of §5.7. In the fifth row we record not presuming a diagnosis as a differentiator, and yet 9 of the 12 pharmacy respondents answered that a pharmacist should review the instructions this app produces every time. Not asking about a diagnosis and reaching a verdict alone are different things, and what we removed is the first, not the second. What §2.6 claims as a differentiator is what the user is not asked, not that the process completes without a professional.</w:t>
            </w:r>
          </w:p>
          <w:p>
            <w:pPr>
              <w:spacing w:after="80" w:line="276" w:lineRule="auto"/>
              <w:jc w:val="both"/>
            </w:pPr>
            <w:r>
              <w:rPr>
                <w:rFonts w:ascii="Times New Roman" w:hAnsi="Times New Roman" w:eastAsia="바탕"/>
                <w:sz w:val="20"/>
              </w:rPr>
              <w:t>The last two rows are where we consider this work to have put something new. We did not find, within the range we looked over, a procedure that measures pictogram comprehension automatically before release (the same qualification as in §1.11), and §5.2 sets out both the procedure and its results. The remaining rows are design choices rather than distinct contributions, and the grounds for each are given in §2.1 through §2.5.</w:t>
            </w:r>
          </w:p>
          <w:p>
            <w:pPr>
              <w:spacing w:after="80" w:line="276" w:lineRule="auto"/>
              <w:jc w:val="both"/>
            </w:pPr>
            <w:r>
              <w:rPr>
                <w:rFonts w:ascii="Times New Roman" w:hAnsi="Times New Roman" w:eastAsia="바탕"/>
                <w:sz w:val="20"/>
              </w:rPr>
              <w:t>The limits of this comparison are set down too. We treated the general health app as a single type, though there is much variation within it, and we did not survey individual products systematically. The left-hand column is a set of features we observed repeatedly within the range we looked at, not the result of a market study. An answer aimed at that limit came out of the survey, and because it would bring down what this section claims, it is set down in full rather than trimmed. In the "anything you would add that we did not ask" box, the team leader at the GC Medi-AI Uisarang Service Centre (name withheld) wrote five things:</w:t>
            </w:r>
          </w:p>
          <w:p>
            <w:pPr>
              <w:spacing w:after="40" w:line="276" w:lineRule="auto"/>
              <w:ind w:left="403"/>
            </w:pPr>
            <w:r>
              <w:rPr>
                <w:rFonts w:ascii="Times New Roman" w:hAnsi="Times New Roman" w:eastAsia="바탕"/>
                <w:i/>
                <w:color w:val="606068"/>
                <w:sz w:val="19"/>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p>
            <w:pPr>
              <w:spacing w:after="180" w:line="276" w:lineRule="auto"/>
              <w:ind w:left="403"/>
            </w:pPr>
            <w:r>
              <w:rPr>
                <w:rFonts w:ascii="Times New Roman" w:hAnsi="Times New Roman" w:eastAsia="바탕"/>
                <w:i w:val="0"/>
                <w:color w:val="606068"/>
                <w:sz w:val="19"/>
              </w:rPr>
              <w:t>((name withheld), Team Leader, GC Medi-AI, Uisarang Service Centre)</w:t>
            </w:r>
          </w:p>
          <w:p>
            <w:pPr>
              <w:spacing w:after="80" w:line="276" w:lineRule="auto"/>
              <w:jc w:val="both"/>
            </w:pPr>
            <w:r>
              <w:rPr>
                <w:rFonts w:ascii="Times New Roman" w:hAnsi="Times New Roman" w:eastAsia="바탕"/>
                <w:sz w:val="20"/>
              </w:rPr>
              <w:t>Each of the five is taken in turn. Points 1 and 5 assume Korea, and they are right. If Korean prescriptions carry a barcode and electronic prescriptions are on the way, photographing a sheet and reading its letters will soon be unnecessary in Korea. The countries in Table 1 of §1.1, however, have neither that barcode nor that digitisation. That is where this app is aimed, and the fact does not refute the response — the range in which the response is right and the range in which we stand are simply different. Points 2 and 3 are things we did not verify: we did not survey individual products systematically, so we may not have seen everything that already exists. Point 4 is not the kind of thing this document can answer. Whether market size is the right basis for deciding what gets built is not a question this proposal takes up, and that the judgement divides at all may itself be why the place §1.4 calls the last step is empty.</w:t>
            </w:r>
          </w:p>
          <w:p>
            <w:pPr>
              <w:spacing w:after="80" w:line="276" w:lineRule="auto"/>
              <w:jc w:val="both"/>
            </w:pPr>
            <w:r>
              <w:rPr>
                <w:rFonts w:ascii="Times New Roman" w:hAnsi="Times New Roman" w:eastAsia="바탕"/>
                <w:sz w:val="20"/>
              </w:rPr>
              <w:t>This response is set down here not because it can be answered. Half of it cannot.</w:t>
            </w:r>
          </w:p>
          <w:p>
            <w:pPr>
              <w:spacing w:before="180" w:after="40"/>
            </w:pPr>
            <w:r>
              <w:rPr>
                <w:rFonts w:ascii="Times New Roman" w:hAnsi="Times New Roman" w:eastAsia="바탕"/>
                <w:b/>
                <w:sz w:val="23"/>
              </w:rPr>
              <w:t>2.7 The three core functions</w:t>
            </w:r>
          </w:p>
          <w:p>
            <w:pPr>
              <w:spacing w:after="80" w:line="276" w:lineRule="auto"/>
              <w:jc w:val="both"/>
            </w:pPr>
            <w:r>
              <w:rPr>
                <w:rFonts w:ascii="Times New Roman" w:hAnsi="Times New Roman" w:eastAsia="바탕"/>
                <w:b/>
                <w:sz w:val="20"/>
              </w:rPr>
              <w:t>Function 1. Prescriptions as picture and speech (Prescription Comprehension)</w:t>
            </w:r>
          </w:p>
          <w:p>
            <w:pPr>
              <w:spacing w:after="80" w:line="276" w:lineRule="auto"/>
              <w:jc w:val="both"/>
            </w:pPr>
            <w:r>
              <w:rPr>
                <w:rFonts w:ascii="Times New Roman" w:hAnsi="Times New Roman" w:eastAsia="바탕"/>
                <w:sz w:val="20"/>
              </w:rPr>
              <w:t>When the user photographs a prescription, OCR (Tesseract.js) extracts the text inside the browser and SIGIL and VOCA process it in parallel. Six pieces of information are extracted from a prescription: which medicine, how many times a day, when, under what conditions, how to store it, and who must not take it.</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22]</w:t>
            </w:r>
            <w:r>
              <w:rPr>
                <w:rFonts w:ascii="Times New Roman" w:hAnsi="Times New Roman" w:eastAsia="바탕"/>
                <w:color w:val="606068"/>
                <w:sz w:val="18"/>
              </w:rPr>
              <w:t xml:space="preserve"> From capture to verdict. (a) Capture screen. The user does not choose what is being photographed. (b) Recognition in progress. Not hiding this stage is deliberate. A screen that has stopped with no indication reads as a fault. (c) Prescription verdict. From top to bottom: what it is, whether it is safe, what to do, what that means, and when, with the checking step of §3.8 attached at the foot. "How many do you take at a time?" is asked aloud and answered by pointing at a picture; it can be skipped, and the medicine information stays below it. The grey speaker circles that used to sit on every row are absent because §3.5 removed them; what remains is on the header and the pictogram cards, places that are not rows. The previews in (a) and (b) are empty because the browser automating the capture has no camera; on a real device the screen is filled.</w:t>
            </w:r>
          </w:p>
          <w:p>
            <w:pPr>
              <w:spacing w:after="80" w:line="276" w:lineRule="auto"/>
              <w:jc w:val="both"/>
            </w:pPr>
            <w:r>
              <w:rPr>
                <w:rFonts w:ascii="Times New Roman" w:hAnsi="Times New Roman" w:eastAsia="바탕"/>
                <w:b/>
                <w:sz w:val="20"/>
              </w:rPr>
              <w:t>Function 2. Verdicts on food and nutrition labels (Personalized Verdict)</w:t>
            </w:r>
          </w:p>
          <w:p>
            <w:pPr>
              <w:spacing w:after="80" w:line="276" w:lineRule="auto"/>
              <w:jc w:val="both"/>
            </w:pPr>
            <w:r>
              <w:rPr>
                <w:rFonts w:ascii="Times New Roman" w:hAnsi="Times New Roman" w:eastAsia="바탕"/>
                <w:sz w:val="20"/>
              </w:rPr>
              <w:t>When a nutrition label is photographed, OCR reads the figures inside the browser and, if a barcode is present, product information is looked up. When a meal is photographed, a nutrition estimation model on the device (EfficientNet-B0, 224px, trained on Nutrition5k) regresses five values: energy, mass, fat, carbohydrate and protein. The model is exported to ONNX and runs in the browser, and at 16 MB it is cached by the service worker (§4.5). Its measured accuracy is in §5.5.</w:t>
            </w:r>
          </w:p>
          <w:p>
            <w:pPr>
              <w:spacing w:after="80" w:line="276" w:lineRule="auto"/>
              <w:jc w:val="both"/>
            </w:pPr>
            <w:r>
              <w:rPr>
                <w:rFonts w:ascii="Times New Roman" w:hAnsi="Times New Roman" w:eastAsia="바탕"/>
                <w:sz w:val="20"/>
              </w:rPr>
              <w:t>Whichever path a value arrives by, it has to pass the same physical checks before it is used in a verdict: value ranges, subset relations (saturated fat ≤ total fat), mass balance, and the Atwater identity (4·carbohydrate + 4·protein + 9·fat ≈ energy). Why these checks are necessary is set out with actual cases in §5.</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23]</w:t>
            </w:r>
            <w:r>
              <w:rPr>
                <w:rFonts w:ascii="Times New Roman" w:hAnsi="Times New Roman" w:eastAsia="바탕"/>
                <w:color w:val="606068"/>
                <w:sz w:val="18"/>
              </w:rPr>
              <w:t xml:space="preserve"> After the verdict. (a) Nutrition label verdict. The figures are not transcribed but converted into the share they occupy of this person's daily reference. (b) Today's running total. Not a single verdict but the day's sum. The source attribution at the bottom has never been removed from the screen. (c) Device link. The result of placing the schedule the app produced into the dispenser trays; because of the constraint in §4.3 this button acts as top-level navigation.</w:t>
            </w:r>
          </w:p>
          <w:p>
            <w:pPr>
              <w:spacing w:after="80" w:line="276" w:lineRule="auto"/>
              <w:jc w:val="both"/>
            </w:pPr>
            <w:r>
              <w:rPr>
                <w:rFonts w:ascii="Times New Roman" w:hAnsi="Times New Roman" w:eastAsia="바탕"/>
                <w:b/>
                <w:sz w:val="20"/>
              </w:rPr>
              <w:t>Function 3. Automatic pill dispenser link (Device Link)</w:t>
            </w:r>
          </w:p>
          <w:p>
            <w:pPr>
              <w:spacing w:after="80" w:line="276" w:lineRule="auto"/>
              <w:jc w:val="both"/>
            </w:pPr>
            <w:r>
              <w:rPr>
                <w:rFonts w:ascii="Times New Roman" w:hAnsi="Times New Roman" w:eastAsia="바탕"/>
                <w:sz w:val="20"/>
              </w:rPr>
              <w:t>The dosing schedule produced by the app is sent to the device. The device is based on a Raspberry Pi 3B with three trays, an LED ring, a buzzer, a confirmation button and a real-time clock (DS1302).</w:t>
            </w:r>
          </w:p>
          <w:p>
            <w:pPr>
              <w:spacing w:after="80" w:line="276" w:lineRule="auto"/>
              <w:jc w:val="both"/>
            </w:pPr>
            <w:r>
              <w:rPr>
                <w:rFonts w:ascii="Times New Roman" w:hAnsi="Times New Roman" w:eastAsia="바탕"/>
                <w:sz w:val="20"/>
              </w:rPr>
              <w:t>The design of the transmission path is the result of several constraints applying at once. This is detailed in §4.</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24]</w:t>
            </w:r>
            <w:r>
              <w:rPr>
                <w:rFonts w:ascii="Times New Roman" w:hAnsi="Times New Roman" w:eastAsia="바탕"/>
                <w:color w:val="606068"/>
                <w:sz w:val="18"/>
              </w:rPr>
              <w:t xml:space="preserve"> The dispenser's wiring and the device's own console. On the left is the wiring drawn from the pin map, on the right the same firmware running on a laptop with only the servo driver swapped for a recording stub. The API, the scheduler and the storage are the same code that runs on the device. These two are shown instead of a photograph because what gets decided here is not visible in a photograph. Splitting the power rails in two is an example. One SG90 under load draws about 700 mA, and pulling that from the same rail as the Pi causes a brownout, and the file in use at that instant happens to be the one recording whether this dose has already been dispensed. The two missed doses in the dose log at the lower right matter for the same reason. If a dose that was not dispensed is not recorded as not dispensed, every subsequent dose number is off by one.</w:t>
            </w:r>
          </w:p>
          <w:p>
            <w:pPr>
              <w:spacing w:after="80" w:line="276" w:lineRule="auto"/>
              <w:jc w:val="both"/>
            </w:pPr>
            <w:r>
              <w:rPr>
                <w:rFonts w:ascii="Times New Roman" w:hAnsi="Times New Roman" w:eastAsia="바탕"/>
                <w:sz w:val="20"/>
              </w:rPr>
              <w:t>Who these three are for drew a different answer in the survey. E. A. Draffan, retired speech and language therapist and visiting accessibility researcher at Global Symbols, wrote:</w:t>
            </w:r>
          </w:p>
          <w:p>
            <w:pPr>
              <w:spacing w:after="40" w:line="276" w:lineRule="auto"/>
              <w:ind w:left="403"/>
            </w:pPr>
            <w:r>
              <w:rPr>
                <w:rFonts w:ascii="Times New Roman" w:hAnsi="Times New Roman" w:eastAsia="바탕"/>
                <w:i/>
                <w:color w:val="606068"/>
                <w:sz w:val="19"/>
              </w:rPr>
              <w:t>"I think the idea of this app is good but may suit many people and not just AAC or those with literacy difficulties but it is hard to judge how easy it would be to actually use the app"</w:t>
            </w:r>
          </w:p>
          <w:p>
            <w:pPr>
              <w:spacing w:after="180" w:line="276" w:lineRule="auto"/>
              <w:ind w:left="403"/>
            </w:pPr>
            <w:r>
              <w:rPr>
                <w:rFonts w:ascii="Times New Roman" w:hAnsi="Times New Roman" w:eastAsia="바탕"/>
                <w:i w:val="0"/>
                <w:color w:val="606068"/>
                <w:sz w:val="19"/>
              </w:rPr>
              <w:t>(E. A. Draffan, retired speech and language therapist and visiting accessibility researcher, Global Symbols · University of Southampton)</w:t>
            </w:r>
          </w:p>
          <w:p>
            <w:pPr>
              <w:spacing w:after="80" w:line="276" w:lineRule="auto"/>
              <w:jc w:val="both"/>
            </w:pPr>
            <w:r>
              <w:rPr>
                <w:rFonts w:ascii="Times New Roman" w:hAnsi="Times New Roman" w:eastAsia="바탕"/>
                <w:sz w:val="20"/>
              </w:rPr>
              <w:t>The first half says we scoped the audience narrowly. From §1.1 onward this document has counted non-literate adults, but one photograph producing a picture and a spoken sentence may be of use to people who can read as well. Among the respondents in §5.7 there was in fact one who wrote that even they, in their forties, found the images hard to grasp at once (§5.7.9). Whether the audience should be drawn wider this document does not judge. What it records is that drawing it narrowly narrowed the evidence, not the users.</w:t>
            </w:r>
          </w:p>
          <w:p>
            <w:pPr>
              <w:spacing w:after="80" w:line="276" w:lineRule="auto"/>
              <w:jc w:val="both"/>
            </w:pPr>
            <w:r>
              <w:rPr>
                <w:rFonts w:ascii="Times New Roman" w:hAnsi="Times New Roman" w:eastAsia="바탕"/>
                <w:sz w:val="20"/>
              </w:rPr>
              <w:t>The second half bears more directly on this section. Reading about three functions is no way to judge whether they are easy to use, which is the same thing §5.9 records as the absence of testing with people. This section can set down what was built; whether it is easy to use becomes an answer only when people are asked, in §5.10.</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The overall flow</w:t>
            </w:r>
          </w:p>
          <w:p>
            <w:pPr>
              <w:spacing w:after="80" w:line="276" w:lineRule="auto"/>
              <w:jc w:val="both"/>
            </w:pPr>
            <w:r>
              <w:rPr>
                <w:rFonts w:ascii="Times New Roman" w:hAnsi="Times New Roman" w:eastAsia="바탕"/>
                <w:sz w:val="20"/>
              </w:rPr>
              <w:t xml:space="preserve">SnapCare's user flow is built on the principle of running from a single photograph to a verdict without branching. As cited in the previous section, a deep hierarchy takes non-literate users 65.5 seconds on average against 25 seconds for a flat list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Choices on the path to a verdict were therefore minimised.</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25]</w:t>
            </w:r>
            <w:r>
              <w:rPr>
                <w:rFonts w:ascii="Times New Roman" w:hAnsi="Times New Roman" w:eastAsia="바탕"/>
                <w:color w:val="606068"/>
                <w:sz w:val="18"/>
              </w:rPr>
              <w:t xml:space="preserve"> The overall user flow. Beneath each step is the reason that step is shaped as it is. What to look for in the diagram is that there is no point anywhere requiring reading.</w:t>
            </w:r>
          </w:p>
          <w:p>
            <w:pPr>
              <w:spacing w:after="80" w:line="276" w:lineRule="auto"/>
              <w:jc w:val="both"/>
            </w:pPr>
            <w:r>
              <w:rPr>
                <w:rFonts w:ascii="Times New Roman" w:hAnsi="Times New Roman" w:eastAsia="바탕"/>
                <w:sz w:val="20"/>
              </w:rPr>
              <w:t>The whole flow is the following five steps.</w:t>
            </w:r>
          </w:p>
          <w:p>
            <w:pPr>
              <w:spacing w:after="80" w:line="276" w:lineRule="auto"/>
              <w:jc w:val="both"/>
            </w:pPr>
            <w:r>
              <w:rPr>
                <w:rFonts w:ascii="Times New Roman" w:hAnsi="Times New Roman" w:eastAsia="바탕"/>
                <w:sz w:val="20"/>
              </w:rPr>
              <w:t>[Table 13] The steps of the user flow and what each requires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Step</w:t>
                  </w:r>
                </w:p>
              </w:tc>
              <w:tc>
                <w:tcPr>
                  <w:tcW w:type="dxa" w:w="2429"/>
                  <w:shd w:val="clear" w:fill="F2F2F2"/>
                </w:tcPr>
                <w:p>
                  <w:r>
                    <w:rPr>
                      <w:rFonts w:ascii="Times New Roman" w:hAnsi="Times New Roman" w:eastAsia="바탕"/>
                      <w:b/>
                      <w:sz w:val="18"/>
                    </w:rPr>
                    <w:t>Screen</w:t>
                  </w:r>
                </w:p>
              </w:tc>
              <w:tc>
                <w:tcPr>
                  <w:tcW w:type="dxa" w:w="2429"/>
                  <w:shd w:val="clear" w:fill="F2F2F2"/>
                </w:tcPr>
                <w:p>
                  <w:r>
                    <w:rPr>
                      <w:rFonts w:ascii="Times New Roman" w:hAnsi="Times New Roman" w:eastAsia="바탕"/>
                      <w:b/>
                      <w:sz w:val="18"/>
                    </w:rPr>
                    <w:t>What the user does</w:t>
                  </w:r>
                </w:p>
              </w:tc>
              <w:tc>
                <w:tcPr>
                  <w:tcW w:type="dxa" w:w="2429"/>
                  <w:shd w:val="clear" w:fill="F2F2F2"/>
                </w:tcPr>
                <w:p>
                  <w:r>
                    <w:rPr>
                      <w:rFonts w:ascii="Times New Roman" w:hAnsi="Times New Roman" w:eastAsia="바탕"/>
                      <w:b/>
                      <w:sz w:val="18"/>
                    </w:rPr>
                    <w:t>Text to read</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First-run guide</w:t>
                  </w:r>
                </w:p>
              </w:tc>
              <w:tc>
                <w:tcPr>
                  <w:tcW w:type="dxa" w:w="2429"/>
                </w:tcPr>
                <w:p>
                  <w:r>
                    <w:rPr>
                      <w:rFonts w:ascii="Times New Roman" w:hAnsi="Times New Roman" w:eastAsia="바탕"/>
                      <w:sz w:val="18"/>
                    </w:rPr>
                    <w:t>Press next (skippable)</w:t>
                  </w:r>
                </w:p>
              </w:tc>
              <w:tc>
                <w:tcPr>
                  <w:tcW w:type="dxa" w:w="2429"/>
                </w:tcPr>
                <w:p>
                  <w:r>
                    <w:rPr>
                      <w:rFonts w:ascii="Times New Roman" w:hAnsi="Times New Roman" w:eastAsia="바탕"/>
                      <w:sz w:val="18"/>
                    </w:rPr>
                    <w:t>None (picture + speech)</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Profile setup</w:t>
                  </w:r>
                </w:p>
              </w:tc>
              <w:tc>
                <w:tcPr>
                  <w:tcW w:type="dxa" w:w="2429"/>
                </w:tcPr>
                <w:p>
                  <w:r>
                    <w:rPr>
                      <w:rFonts w:ascii="Times New Roman" w:hAnsi="Times New Roman" w:eastAsia="바탕"/>
                      <w:sz w:val="18"/>
                    </w:rPr>
                    <w:t>Choose age and conditions</w:t>
                  </w:r>
                </w:p>
              </w:tc>
              <w:tc>
                <w:tcPr>
                  <w:tcW w:type="dxa" w:w="2429"/>
                </w:tcPr>
                <w:p>
                  <w:r>
                    <w:rPr>
                      <w:rFonts w:ascii="Times New Roman" w:hAnsi="Times New Roman" w:eastAsia="바탕"/>
                      <w:sz w:val="18"/>
                    </w:rPr>
                    <w:t>None (picture selection)</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Home</w:t>
                  </w:r>
                </w:p>
              </w:tc>
              <w:tc>
                <w:tcPr>
                  <w:tcW w:type="dxa" w:w="2429"/>
                </w:tcPr>
                <w:p>
                  <w:r>
                    <w:rPr>
                      <w:rFonts w:ascii="Times New Roman" w:hAnsi="Times New Roman" w:eastAsia="바탕"/>
                      <w:sz w:val="18"/>
                    </w:rPr>
                    <w:t>Press the capture button</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Capture</w:t>
                  </w:r>
                </w:p>
              </w:tc>
              <w:tc>
                <w:tcPr>
                  <w:tcW w:type="dxa" w:w="2429"/>
                </w:tcPr>
                <w:p>
                  <w:r>
                    <w:rPr>
                      <w:rFonts w:ascii="Times New Roman" w:hAnsi="Times New Roman" w:eastAsia="바탕"/>
                      <w:sz w:val="18"/>
                    </w:rPr>
                    <w:t>Point and shoot</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Verdict</w:t>
                  </w:r>
                </w:p>
              </w:tc>
              <w:tc>
                <w:tcPr>
                  <w:tcW w:type="dxa" w:w="2429"/>
                </w:tcPr>
                <w:p>
                  <w:r>
                    <w:rPr>
                      <w:rFonts w:ascii="Times New Roman" w:hAnsi="Times New Roman" w:eastAsia="바탕"/>
                      <w:sz w:val="18"/>
                    </w:rPr>
                    <w:t>Look and listen</w:t>
                  </w:r>
                </w:p>
              </w:tc>
              <w:tc>
                <w:tcPr>
                  <w:tcW w:type="dxa" w:w="2429"/>
                </w:tcPr>
                <w:p>
                  <w:r>
                    <w:rPr>
                      <w:rFonts w:ascii="Times New Roman" w:hAnsi="Times New Roman" w:eastAsia="바탕"/>
                      <w:sz w:val="18"/>
                    </w:rPr>
                    <w:t>None</w:t>
                  </w:r>
                </w:p>
              </w:tc>
            </w:tr>
          </w:tbl>
          <w:p/>
          <w:p>
            <w:pPr>
              <w:spacing w:after="120"/>
            </w:pPr>
          </w:p>
          <w:p>
            <w:pPr>
              <w:spacing w:after="80" w:line="276" w:lineRule="auto"/>
              <w:jc w:val="both"/>
            </w:pPr>
            <w:r>
              <w:rPr>
                <w:rFonts w:ascii="Times New Roman" w:hAnsi="Times New Roman" w:eastAsia="바탕"/>
                <w:sz w:val="20"/>
              </w:rPr>
              <w:t>The last column of Table 13 is the point of this design. At no step is the user required to read or type.</w:t>
            </w:r>
          </w:p>
          <w:p>
            <w:pPr>
              <w:spacing w:after="80" w:line="276" w:lineRule="auto"/>
              <w:jc w:val="both"/>
            </w:pPr>
            <w:r>
              <w:rPr>
                <w:rFonts w:ascii="Times New Roman" w:hAnsi="Times New Roman" w:eastAsia="바탕"/>
                <w:sz w:val="20"/>
              </w:rPr>
              <w:t>There is one more thing absent from the table. There is no step for going back. If the photograph was wrong, take another; if the verdict is unwelcome, close it. Intermediate steps such as cancel, edit and confirm were left out because each of them requires reading "what is being asked right now." Of the five steps, 1 and 2 are passed through only once, so from the second use the real path is three steps: press on the home screen, shoot, look.</w:t>
            </w:r>
          </w:p>
          <w:p>
            <w:pPr>
              <w:spacing w:after="80" w:line="276" w:lineRule="auto"/>
              <w:jc w:val="both"/>
            </w:pPr>
            <w:r>
              <w:rPr>
                <w:rFonts w:ascii="Times New Roman" w:hAnsi="Times New Roman" w:eastAsia="바탕"/>
                <w:sz w:val="20"/>
              </w:rPr>
              <w:t>One thing should be noted, though. The shortness of this flow is a constraint as much as a result of the design. Removing choices also removed what the user can tell the app. Because the user does not choose what they photographed, there is nothing on screen to correct a misclassification, and taking another photograph is the only recourse. This is recorded as an unverified item in §5.9.</w:t>
            </w:r>
          </w:p>
          <w:p>
            <w:pPr>
              <w:spacing w:before="180" w:after="40"/>
            </w:pPr>
            <w:r>
              <w:rPr>
                <w:rFonts w:ascii="Times New Roman" w:hAnsi="Times New Roman" w:eastAsia="바탕"/>
                <w:b/>
                <w:sz w:val="23"/>
              </w:rPr>
              <w:t>3.2 First run and profile setup</w:t>
            </w:r>
          </w:p>
          <w:p>
            <w:pPr>
              <w:spacing w:after="80" w:line="276" w:lineRule="auto"/>
              <w:jc w:val="both"/>
            </w:pPr>
            <w:r>
              <w:rPr>
                <w:rFonts w:ascii="Times New Roman" w:hAnsi="Times New Roman" w:eastAsia="바탕"/>
                <w:sz w:val="20"/>
              </w:rPr>
              <w:t>Opening the app for the first time leads through five guide cards to profile setup. This step is needed because of the verdict method described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Age is not entered as a number. Four bands (child, teenager, adult, older adult) are chosen through our own morphemes (</w:t>
            </w:r>
            <w:r>
              <w:rPr>
                <w:rFonts w:ascii="Consolas" w:hAnsi="Consolas" w:eastAsia="Consolas"/>
                <w:sz w:val="19"/>
              </w:rPr>
              <w:t>state_child</w:t>
            </w:r>
            <w:r>
              <w:rPr>
                <w:rFonts w:ascii="Times New Roman" w:hAnsi="Times New Roman" w:eastAsia="바탕"/>
                <w:sz w:val="20"/>
              </w:rPr>
              <w:t xml:space="preserve">, </w:t>
            </w:r>
            <w:r>
              <w:rPr>
                <w:rFonts w:ascii="Consolas" w:hAnsi="Consolas" w:eastAsia="Consolas"/>
                <w:sz w:val="19"/>
              </w:rPr>
              <w:t>state_teen</w:t>
            </w:r>
            <w:r>
              <w:rPr>
                <w:rFonts w:ascii="Times New Roman" w:hAnsi="Times New Roman" w:eastAsia="바탕"/>
                <w:sz w:val="20"/>
              </w:rPr>
              <w:t xml:space="preserve">, </w:t>
            </w:r>
            <w:r>
              <w:rPr>
                <w:rFonts w:ascii="Consolas" w:hAnsi="Consolas" w:eastAsia="Consolas"/>
                <w:sz w:val="19"/>
              </w:rPr>
              <w:t>state_adult</w:t>
            </w:r>
            <w:r>
              <w:rPr>
                <w:rFonts w:ascii="Times New Roman" w:hAnsi="Times New Roman" w:eastAsia="바탕"/>
                <w:sz w:val="20"/>
              </w:rPr>
              <w:t xml:space="preserve">, </w:t>
            </w:r>
            <w:r>
              <w:rPr>
                <w:rFonts w:ascii="Consolas" w:hAnsi="Consolas" w:eastAsia="Consolas"/>
                <w:sz w:val="19"/>
              </w:rPr>
              <w:t>state_elderly</w:t>
            </w:r>
            <w:r>
              <w:rPr>
                <w:rFonts w:ascii="Times New Roman" w:hAnsi="Times New Roman" w:eastAsia="바탕"/>
                <w:sz w:val="20"/>
              </w:rPr>
              <w:t>). There is a reason emoji were not used. Emoji are drawn differently on every device, and the emoji that might stand for a teenager (🧑‍🎓) actually means "graduate," which means nothing at all to a child who does not attend school. The four morphemes are drawn as one family, so placed side by side the difference in age is visible as form. Conditions are likewise offered as picture cards along the three branches of §2.5 (what you know now, what you have experienced, what you have been told).</w:t>
            </w:r>
          </w:p>
          <w:p>
            <w:pPr>
              <w:spacing w:after="80" w:line="276" w:lineRule="auto"/>
              <w:jc w:val="both"/>
            </w:pPr>
            <w:r>
              <w:rPr>
                <w:rFonts w:ascii="Times New Roman" w:hAnsi="Times New Roman" w:eastAsia="바탕"/>
                <w:sz w:val="20"/>
              </w:rPr>
              <w:t>Originally this screen asked the user to choose a face first. It was a step of picking one of eight person pictures, and after testing it was removed from the first run. A face is only a marker with no bearing on the verdict (it indicates who someone is), yet it was the first thing demanded on screen, which made the first demand met by a new user a choice with no value attached. That in turn makes the questions after it, age and conditions, read with the same weight, and those two do carry weight. The face was moved to the settings screen.</w:t>
            </w:r>
          </w:p>
          <w:p>
            <w:pPr>
              <w:spacing w:after="80" w:line="276" w:lineRule="auto"/>
              <w:jc w:val="both"/>
            </w:pPr>
            <w:r>
              <w:rPr>
                <w:rFonts w:ascii="Times New Roman" w:hAnsi="Times New Roman" w:eastAsia="바탕"/>
                <w:sz w:val="20"/>
              </w:rPr>
              <w:t>The step can be skipped, but if it is, the home screen keeps displaying "showing adult thresholds." This is to prevent a default from being applied silently. The reason for this indicator connects directly to the claim in §2.4 that the verdict differs per person. A verdict produced without knowing the age still appears in the same greens and reds on screen, and if the screen does not say whom the verdict was computed for, the user reads it as an answer computed for them.</w:t>
            </w:r>
          </w:p>
          <w:p>
            <w:pPr>
              <w:spacing w:after="80" w:line="276" w:lineRule="auto"/>
              <w:jc w:val="both"/>
            </w:pPr>
            <w:r>
              <w:rPr>
                <w:rFonts w:ascii="Times New Roman" w:hAnsi="Times New Roman" w:eastAsia="바탕"/>
                <w:sz w:val="20"/>
              </w:rPr>
              <w:t>The lock is a picture key rather than a text password. Four pictograms chosen in advance from twelve are pressed in order. The number of combinations is comparable to a four-digit PIN while what has to be remembered is pictures rather than digits, so users who cannot handle letters and numbers can use it. Only a hash of the sequence is stored (§4.6).</w:t>
            </w:r>
          </w:p>
          <w:p>
            <w:pPr>
              <w:spacing w:after="80" w:line="276" w:lineRule="auto"/>
              <w:jc w:val="both"/>
            </w:pPr>
            <w:r>
              <w:rPr>
                <w:rFonts w:ascii="Times New Roman" w:hAnsi="Times New Roman" w:eastAsia="바탕"/>
                <w:sz w:val="20"/>
              </w:rPr>
              <w:t>The list of household members sits on this same lock screen (§3.6). It has the same structure as an operating system lock screen, and because choosing a face and unlocking finish on one screen there is no need to build a separate way back after choosing wrongly. Someone using the phone alone never sees the list. Asking a single person to choose is asking them to make a choice that does not exist.</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26]</w:t>
            </w:r>
            <w:r>
              <w:rPr>
                <w:rFonts w:ascii="Times New Roman" w:hAnsi="Times New Roman" w:eastAsia="바탕"/>
                <w:color w:val="606068"/>
                <w:sz w:val="18"/>
              </w:rPr>
              <w:t xml:space="preserve"> First run. (a) Five guide cards. Each is a picture and one sentence, and on arrival the screen reads that sentence aloud by itself. (b) Profile setup. The age band is chosen through our morphemes and conditions through picture cards, with no input field on either. This step is needed because of the verdict method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Two answers in §5.7 split exactly on this screen. Asked where a first run gets stuck, one of the two HCI respondents chose granting camera permission and the other chose that it does not get stuck. Myojung Choi, researcher at the Korea Disabled People's Development Institute, set down the reason for the first.</w:t>
            </w:r>
          </w:p>
          <w:p>
            <w:pPr>
              <w:spacing w:after="40" w:line="276" w:lineRule="auto"/>
              <w:ind w:left="403"/>
            </w:pPr>
            <w:r>
              <w:rPr>
                <w:rFonts w:ascii="Times New Roman" w:hAnsi="Times New Roman" w:eastAsia="바탕"/>
                <w:i/>
                <w:color w:val="606068"/>
                <w:sz w:val="19"/>
              </w:rPr>
              <w:t>"A user who has difficulty reading may struggle with the subsequent steps if spoken guidance is not provided at the initial permission stage, and their actions may be constrained as a result."</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permission dialogue is drawn by the browser, so we cannot put speech inside it. Saying in advance what is about to be asked is all we can do, and the five guide screens occupy that place now. From the moment the dialogue appears after the guide, however, it is no longer our screen. It belongs to the unverified items in §5.9.</w:t>
            </w:r>
          </w:p>
          <w:p>
            <w:pPr>
              <w:spacing w:after="80" w:line="276" w:lineRule="auto"/>
              <w:jc w:val="both"/>
            </w:pPr>
            <w:r>
              <w:rPr>
                <w:rFonts w:ascii="Times New Roman" w:hAnsi="Times New Roman" w:eastAsia="바탕"/>
                <w:sz w:val="20"/>
              </w:rPr>
              <w:t>Yonghan Lee, Senior Manager at the Korea Craft and Design Foundation, looked at it the other way. Someone who seeks this app out already knows roughly how it works, and if so a procedure of this length is perfectly possible with pictures and speech alongside. The two responses do not contradict each other. The first is about someone opening it for the first time, the second about someone who came looking. How this app reaches whom has not been settled, so both are possible conditions.</w:t>
            </w:r>
          </w:p>
          <w:p>
            <w:pPr>
              <w:spacing w:before="180" w:after="40"/>
            </w:pPr>
            <w:r>
              <w:rPr>
                <w:rFonts w:ascii="Times New Roman" w:hAnsi="Times New Roman" w:eastAsia="바탕"/>
                <w:b/>
                <w:sz w:val="23"/>
              </w:rPr>
              <w:t>3.3 From capture to verdict</w:t>
            </w:r>
          </w:p>
          <w:p>
            <w:pPr>
              <w:spacing w:before="120" w:after="20"/>
            </w:pPr>
            <w:r>
              <w:rPr>
                <w:rFonts w:ascii="Times New Roman" w:hAnsi="Times New Roman" w:eastAsia="바탕"/>
                <w:b/>
                <w:sz w:val="21"/>
              </w:rPr>
              <w:t>3.3.1 Getting to the shutter</w:t>
            </w:r>
          </w:p>
          <w:p>
            <w:pPr>
              <w:spacing w:after="80" w:line="276" w:lineRule="auto"/>
              <w:jc w:val="both"/>
            </w:pPr>
            <w:r>
              <w:rPr>
                <w:rFonts w:ascii="Times New Roman" w:hAnsi="Times New Roman" w:eastAsia="바탕"/>
                <w:sz w:val="20"/>
              </w:rPr>
              <w:t>Pressing the blue circle on the home screen moves to the capture screen. At the very top is one line, "Point at something," and the screen reads that sentence aloud the moment it arrives. You do not have to press anything to find out what to do.</w:t>
            </w:r>
          </w:p>
          <w:p>
            <w:pPr>
              <w:spacing w:after="80" w:line="276" w:lineRule="auto"/>
              <w:jc w:val="both"/>
            </w:pPr>
            <w:r>
              <w:rPr>
                <w:rFonts w:ascii="Times New Roman" w:hAnsi="Times New Roman" w:eastAsia="바탕"/>
                <w:sz w:val="20"/>
              </w:rPr>
              <w:t>In the middle is a preview area, and below it a single 64-pixel white circle. That circle is the shutter. It is the only pressable thing on the screen, and there is no step for choosing what is being photographed. Prescription mode, label mode and food mode were not created because that choice would itself reintroduce the cost of hierarchy cited in §1.10. The user is already holding whatever they are photographing, so there is no reason to make them tell the app a second time.</w:t>
            </w:r>
          </w:p>
          <w:p>
            <w:pPr>
              <w:spacing w:after="80" w:line="276" w:lineRule="auto"/>
              <w:jc w:val="both"/>
            </w:pPr>
            <w:r>
              <w:rPr>
                <w:rFonts w:ascii="Times New Roman" w:hAnsi="Times New Roman" w:eastAsia="바탕"/>
                <w:sz w:val="20"/>
              </w:rPr>
              <w:t>Pressing the shutter opens the device's own camera, and the photograph comes straight back to the app. No separate capture screen was built inside the app because the device camera already handles focus, exposure and stabilisation, and reimplementing that could only make it worse.</w:t>
            </w:r>
          </w:p>
          <w:p>
            <w:pPr>
              <w:spacing w:before="120" w:after="20"/>
            </w:pPr>
            <w:r>
              <w:rPr>
                <w:rFonts w:ascii="Times New Roman" w:hAnsi="Times New Roman" w:eastAsia="바탕"/>
                <w:b/>
                <w:sz w:val="21"/>
              </w:rPr>
              <w:t>3.3.2 The order in which what was photographed is decided</w:t>
            </w:r>
          </w:p>
          <w:p>
            <w:pPr>
              <w:spacing w:after="80" w:line="276" w:lineRule="auto"/>
              <w:jc w:val="both"/>
            </w:pPr>
            <w:r>
              <w:rPr>
                <w:rFonts w:ascii="Times New Roman" w:hAnsi="Times New Roman" w:eastAsia="바탕"/>
                <w:sz w:val="20"/>
              </w:rPr>
              <w:t>The returned photograph is classified into one of four categories: food, drink, medicine or prescription. This determination is not made at once but split across two layers.</w:t>
            </w:r>
          </w:p>
          <w:p>
            <w:pPr>
              <w:spacing w:after="80" w:line="276" w:lineRule="auto"/>
              <w:jc w:val="both"/>
            </w:pPr>
            <w:r>
              <w:rPr>
                <w:rFonts w:ascii="Times New Roman" w:hAnsi="Times New Roman" w:eastAsia="바탕"/>
                <w:sz w:val="20"/>
              </w:rPr>
              <w:t xml:space="preserve">The first layer runs on the device. Text is read from the photograph first (Tesseract.js, running inside the browser), and the text is examined for markers. If markers such as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per 100</w:t>
            </w:r>
            <w:r>
              <w:rPr>
                <w:rFonts w:ascii="Times New Roman" w:hAnsi="Times New Roman" w:eastAsia="바탕"/>
                <w:sz w:val="20"/>
              </w:rPr>
              <w:t xml:space="preserve">, </w:t>
            </w:r>
            <w:r>
              <w:rPr>
                <w:rFonts w:ascii="Consolas" w:hAnsi="Consolas" w:eastAsia="Consolas"/>
                <w:sz w:val="19"/>
              </w:rPr>
              <w:t>영양성분</w:t>
            </w:r>
            <w:r>
              <w:rPr>
                <w:rFonts w:ascii="Times New Roman" w:hAnsi="Times New Roman" w:eastAsia="바탕"/>
                <w:sz w:val="20"/>
              </w:rPr>
              <w:t xml:space="preserve"> (nutrition facts) or </w:t>
            </w:r>
            <w:r>
              <w:rPr>
                <w:rFonts w:ascii="Consolas" w:hAnsi="Consolas" w:eastAsia="Consolas"/>
                <w:sz w:val="19"/>
              </w:rPr>
              <w:t>1회 제공량</w:t>
            </w:r>
            <w:r>
              <w:rPr>
                <w:rFonts w:ascii="Times New Roman" w:hAnsi="Times New Roman" w:eastAsia="바탕"/>
                <w:sz w:val="20"/>
              </w:rPr>
              <w:t xml:space="preserve"> (serving size) are present together with two or more nutrient names, it is treated as a nutrition label. If two or more of dose notations such as </w:t>
            </w:r>
            <w:r>
              <w:rPr>
                <w:rFonts w:ascii="Consolas" w:hAnsi="Consolas" w:eastAsia="Consolas"/>
                <w:sz w:val="19"/>
              </w:rPr>
              <w:t>500 mg</w:t>
            </w:r>
            <w:r>
              <w:rPr>
                <w:rFonts w:ascii="Times New Roman" w:hAnsi="Times New Roman" w:eastAsia="바탕"/>
                <w:sz w:val="20"/>
              </w:rPr>
              <w:t xml:space="preserve">, dosage forms such as </w:t>
            </w:r>
            <w:r>
              <w:rPr>
                <w:rFonts w:ascii="Consolas" w:hAnsi="Consolas" w:eastAsia="Consolas"/>
                <w:sz w:val="19"/>
              </w:rPr>
              <w:t>tablet</w:t>
            </w:r>
            <w:r>
              <w:rPr>
                <w:rFonts w:ascii="Times New Roman" w:hAnsi="Times New Roman" w:eastAsia="바탕"/>
                <w:sz w:val="20"/>
              </w:rPr>
              <w:t xml:space="preserve"> or </w:t>
            </w:r>
            <w:r>
              <w:rPr>
                <w:rFonts w:ascii="Consolas" w:hAnsi="Consolas" w:eastAsia="Consolas"/>
                <w:sz w:val="19"/>
              </w:rPr>
              <w:t>capsule</w:t>
            </w:r>
            <w:r>
              <w:rPr>
                <w:rFonts w:ascii="Times New Roman" w:hAnsi="Times New Roman" w:eastAsia="바탕"/>
                <w:sz w:val="20"/>
              </w:rPr>
              <w:t xml:space="preserve">, and dosing instructions such as </w:t>
            </w:r>
            <w:r>
              <w:rPr>
                <w:rFonts w:ascii="Consolas" w:hAnsi="Consolas" w:eastAsia="Consolas"/>
                <w:sz w:val="19"/>
              </w:rPr>
              <w:t>twice daily</w:t>
            </w:r>
            <w:r>
              <w:rPr>
                <w:rFonts w:ascii="Times New Roman" w:hAnsi="Times New Roman" w:eastAsia="바탕"/>
                <w:sz w:val="20"/>
              </w:rPr>
              <w:t xml:space="preserve"> or </w:t>
            </w:r>
            <w:r>
              <w:rPr>
                <w:rFonts w:ascii="Consolas" w:hAnsi="Consolas" w:eastAsia="Consolas"/>
                <w:sz w:val="19"/>
              </w:rPr>
              <w:t>after meals</w:t>
            </w:r>
            <w:r>
              <w:rPr>
                <w:rFonts w:ascii="Times New Roman" w:hAnsi="Times New Roman" w:eastAsia="바탕"/>
                <w:sz w:val="20"/>
              </w:rPr>
              <w:t xml:space="preserve"> appear, it is treated as a prescription. Once it settles into one of the two, the dedicated parser runs on the spot and no server is called.</w:t>
            </w:r>
          </w:p>
          <w:p>
            <w:pPr>
              <w:spacing w:after="80" w:line="276" w:lineRule="auto"/>
              <w:jc w:val="both"/>
            </w:pPr>
            <w:r>
              <w:rPr>
                <w:rFonts w:ascii="Times New Roman" w:hAnsi="Times New Roman" w:eastAsia="바탕"/>
                <w:sz w:val="20"/>
              </w:rPr>
              <w:t>The second layer is invoked only when the first has failed. If the text read from the photograph is shorter than four characters (which is usually the case for food photographs) or the markers match neither pattern, the photograph is sent to the vision model on the server.</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27]</w:t>
            </w:r>
            <w:r>
              <w:rPr>
                <w:rFonts w:ascii="Times New Roman" w:hAnsi="Times New Roman" w:eastAsia="바탕"/>
                <w:color w:val="606068"/>
                <w:sz w:val="18"/>
              </w:rPr>
              <w:t xml:space="preserve"> The two layers that decide what was photographed. Falling to the left calls no server; only falling to the right needs a connection. This split is what makes the offline operation of §4.5 possible.</w:t>
            </w:r>
          </w:p>
          <w:p>
            <w:pPr>
              <w:spacing w:after="80" w:line="276" w:lineRule="auto"/>
              <w:jc w:val="both"/>
            </w:pPr>
            <w:r>
              <w:rPr>
                <w:rFonts w:ascii="Times New Roman" w:hAnsi="Times New Roman" w:eastAsia="바탕"/>
                <w:sz w:val="20"/>
              </w:rPr>
              <w:t>There is a reason for this order. Finishing anything with text on the device and sending out only what needs a connection means prescriptions and nutrition labels are read without an internet connection. These two are the most urgent things in this app (§4.5).</w:t>
            </w:r>
          </w:p>
          <w:p>
            <w:pPr>
              <w:spacing w:before="120" w:after="20"/>
            </w:pPr>
            <w:r>
              <w:rPr>
                <w:rFonts w:ascii="Times New Roman" w:hAnsi="Times New Roman" w:eastAsia="바탕"/>
                <w:b/>
                <w:sz w:val="21"/>
              </w:rPr>
              <w:t>3.3.3 What is shown while waiting</w:t>
            </w:r>
          </w:p>
          <w:p>
            <w:pPr>
              <w:spacing w:after="80" w:line="276" w:lineRule="auto"/>
              <w:jc w:val="both"/>
            </w:pPr>
            <w:r>
              <w:rPr>
                <w:rFonts w:ascii="Times New Roman" w:hAnsi="Times New Roman" w:eastAsia="바탕"/>
                <w:sz w:val="20"/>
              </w:rPr>
              <w:t>While recognition runs, the preview area displays what is happening in text, and the same sentence goes out as speech. The four sentences actually displayed are as follows.</w:t>
            </w:r>
          </w:p>
          <w:p>
            <w:pPr>
              <w:spacing w:after="80" w:line="276" w:lineRule="auto"/>
              <w:jc w:val="both"/>
            </w:pPr>
            <w:r>
              <w:rPr>
                <w:rFonts w:ascii="Times New Roman" w:hAnsi="Times New Roman" w:eastAsia="바탕"/>
                <w:sz w:val="20"/>
              </w:rPr>
              <w:t>[Table 14] The stages shown during recognition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Display</w:t>
                  </w:r>
                </w:p>
              </w:tc>
              <w:tc>
                <w:tcPr>
                  <w:tcW w:type="dxa" w:w="3238"/>
                  <w:shd w:val="clear" w:fill="F2F2F2"/>
                </w:tcPr>
                <w:p>
                  <w:r>
                    <w:rPr>
                      <w:rFonts w:ascii="Times New Roman" w:hAnsi="Times New Roman" w:eastAsia="바탕"/>
                      <w:b/>
                      <w:sz w:val="18"/>
                    </w:rPr>
                    <w:t>When it appears</w:t>
                  </w:r>
                </w:p>
              </w:tc>
              <w:tc>
                <w:tcPr>
                  <w:tcW w:type="dxa" w:w="3238"/>
                  <w:shd w:val="clear" w:fill="F2F2F2"/>
                </w:tcPr>
                <w:p>
                  <w:r>
                    <w:rPr>
                      <w:rFonts w:ascii="Times New Roman" w:hAnsi="Times New Roman" w:eastAsia="바탕"/>
                      <w:b/>
                      <w:sz w:val="18"/>
                    </w:rPr>
                    <w:t>Duration</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While text is read on the device, the percentage rising in real time</w:t>
                  </w:r>
                </w:p>
              </w:tc>
              <w:tc>
                <w:tcPr>
                  <w:tcW w:type="dxa" w:w="3238"/>
                </w:tcPr>
                <w:p>
                  <w:r>
                    <w:rPr>
                      <w:rFonts w:ascii="Times New Roman" w:hAnsi="Times New Roman" w:eastAsia="바탕"/>
                      <w:sz w:val="18"/>
                    </w:rPr>
                    <w:t>Usually 2–6 s</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Read as a label but the values failed the checks, so the server is being asked again</w:t>
                  </w:r>
                </w:p>
              </w:tc>
              <w:tc>
                <w:tcPr>
                  <w:tcW w:type="dxa" w:w="3238"/>
                </w:tcPr>
                <w:p>
                  <w:r>
                    <w:rPr>
                      <w:rFonts w:ascii="Times New Roman" w:hAnsi="Times New Roman" w:eastAsia="바탕"/>
                      <w:sz w:val="18"/>
                    </w:rPr>
                    <w:t>1–3 s</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The on-device nutrition model is running and server classification is awaited</w:t>
                  </w:r>
                </w:p>
              </w:tc>
              <w:tc>
                <w:tcPr>
                  <w:tcW w:type="dxa" w:w="3238"/>
                </w:tcPr>
                <w:p>
                  <w:r>
                    <w:rPr>
                      <w:rFonts w:ascii="Times New Roman" w:hAnsi="Times New Roman" w:eastAsia="바탕"/>
                      <w:sz w:val="18"/>
                    </w:rPr>
                    <w:t>2–5 s</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A sample image was chosen</w:t>
                  </w:r>
                </w:p>
              </w:tc>
              <w:tc>
                <w:tcPr>
                  <w:tcW w:type="dxa" w:w="3238"/>
                </w:tcPr>
                <w:p>
                  <w:r>
                    <w:rPr>
                      <w:rFonts w:ascii="Times New Roman" w:hAnsi="Times New Roman" w:eastAsia="바탕"/>
                      <w:sz w:val="18"/>
                    </w:rPr>
                    <w:t>Under 1 s</w:t>
                  </w:r>
                </w:p>
              </w:tc>
            </w:tr>
          </w:tbl>
          <w:p/>
          <w:p>
            <w:pPr>
              <w:spacing w:after="120"/>
            </w:pPr>
          </w:p>
          <w:p>
            <w:pPr>
              <w:spacing w:after="80" w:line="276" w:lineRule="auto"/>
              <w:jc w:val="both"/>
            </w:pPr>
            <w:r>
              <w:rPr>
                <w:rFonts w:ascii="Times New Roman" w:hAnsi="Times New Roman" w:eastAsia="바탕"/>
                <w:sz w:val="20"/>
              </w:rPr>
              <w:t xml:space="preserve">Showing the percentage rather than hiding it is deliberate. One of the barriers identified in research on low-literate users is intimidation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and a screen that has stopped with no indication reads as a fault. Simply watching the number climb conveys "it is running," and that is conveyed without reading. For the same reason the shutter and every button below it are locked against presses while recognition runs. Pressing twice must not run it twice.</w:t>
            </w:r>
          </w:p>
          <w:p>
            <w:pPr>
              <w:spacing w:before="120" w:after="20"/>
            </w:pPr>
            <w:r>
              <w:rPr>
                <w:rFonts w:ascii="Times New Roman" w:hAnsi="Times New Roman" w:eastAsia="바탕"/>
                <w:b/>
                <w:sz w:val="21"/>
              </w:rPr>
              <w:t>3.3.4 The vertical order of the verdict screen</w:t>
            </w:r>
          </w:p>
          <w:p>
            <w:pPr>
              <w:spacing w:after="80" w:line="276" w:lineRule="auto"/>
              <w:jc w:val="both"/>
            </w:pPr>
            <w:r>
              <w:rPr>
                <w:rFonts w:ascii="Times New Roman" w:hAnsi="Times New Roman" w:eastAsia="바탕"/>
                <w:sz w:val="20"/>
              </w:rPr>
              <w:t>The verdict screen splits into two versions depending on what was photographed. The criterion for the ordering is the same: scanning top to bottom without reading, what is needed has to come first.</w:t>
            </w:r>
          </w:p>
          <w:p>
            <w:pPr>
              <w:spacing w:after="80" w:line="276" w:lineRule="auto"/>
              <w:jc w:val="both"/>
            </w:pPr>
            <w:r>
              <w:rPr>
                <w:rFonts w:ascii="Times New Roman" w:hAnsi="Times New Roman" w:eastAsia="바탕"/>
                <w:sz w:val="20"/>
              </w:rPr>
              <w:t>[Table 15] Composition of the verdict screen (food and drink / prescription and medicine)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Food and drink</w:t>
                  </w:r>
                </w:p>
              </w:tc>
              <w:tc>
                <w:tcPr>
                  <w:tcW w:type="dxa" w:w="3238"/>
                  <w:shd w:val="clear" w:fill="F2F2F2"/>
                </w:tcPr>
                <w:p>
                  <w:r>
                    <w:rPr>
                      <w:rFonts w:ascii="Times New Roman" w:hAnsi="Times New Roman" w:eastAsia="바탕"/>
                      <w:b/>
                      <w:sz w:val="18"/>
                    </w:rPr>
                    <w:t>Prescription and medicine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round picture with verdict sentence</w:t>
                  </w:r>
                </w:p>
              </w:tc>
              <w:tc>
                <w:tcPr>
                  <w:tcW w:type="dxa" w:w="3238"/>
                </w:tcPr>
                <w:p>
                  <w:r>
                    <w:rPr>
                      <w:rFonts w:ascii="Times New Roman" w:hAnsi="Times New Roman" w:eastAsia="바탕"/>
                      <w:sz w:val="18"/>
                    </w:rPr>
                    <w:t>96px round picture</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Summary bar carrying colour and symbol</w:t>
                  </w:r>
                </w:p>
              </w:tc>
              <w:tc>
                <w:tcPr>
                  <w:tcW w:type="dxa" w:w="3238"/>
                </w:tcPr>
                <w:p>
                  <w:r>
                    <w:rPr>
                      <w:rFonts w:ascii="Times New Roman" w:hAnsi="Times New Roman" w:eastAsia="바탕"/>
                      <w:sz w:val="18"/>
                    </w:rPr>
                    <w:t>Drug name and dose per administration</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Pictogram sequence</w:t>
                  </w:r>
                </w:p>
              </w:tc>
              <w:tc>
                <w:tcPr>
                  <w:tcW w:type="dxa" w:w="3238"/>
                </w:tcPr>
                <w:p>
                  <w:r>
                    <w:rPr>
                      <w:rFonts w:ascii="Times New Roman" w:hAnsi="Times New Roman" w:eastAsia="바탕"/>
                      <w:sz w:val="18"/>
                    </w:rPr>
                    <w:t>Safety bar carrying colour and symbol</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Nutrient bars (up to 3)</w:t>
                  </w:r>
                </w:p>
              </w:tc>
              <w:tc>
                <w:tcPr>
                  <w:tcW w:type="dxa" w:w="3238"/>
                </w:tcPr>
                <w:p>
                  <w:r>
                    <w:rPr>
                      <w:rFonts w:ascii="Times New Roman" w:hAnsi="Times New Roman" w:eastAsia="바탕"/>
                      <w:sz w:val="18"/>
                    </w:rPr>
                    <w:t>Pictogram sequence</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Alternative suggestion card</w:t>
                  </w:r>
                </w:p>
              </w:tc>
              <w:tc>
                <w:tcPr>
                  <w:tcW w:type="dxa" w:w="3238"/>
                </w:tcPr>
                <w:p>
                  <w:r>
                    <w:rPr>
                      <w:rFonts w:ascii="Times New Roman" w:hAnsi="Times New Roman" w:eastAsia="바탕"/>
                      <w:sz w:val="18"/>
                    </w:rPr>
                    <w:t>Dose card and storage card</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Confirm button</w:t>
                  </w:r>
                </w:p>
              </w:tc>
              <w:tc>
                <w:tcPr>
                  <w:tcW w:type="dxa" w:w="3238"/>
                </w:tcPr>
                <w:p>
                  <w:r>
                    <w:rPr>
                      <w:rFonts w:ascii="Times New Roman" w:hAnsi="Times New Roman" w:eastAsia="바탕"/>
                      <w:sz w:val="18"/>
                    </w:rPr>
                    <w:t>Dosing schedule</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28]</w:t>
            </w:r>
            <w:r>
              <w:rPr>
                <w:rFonts w:ascii="Times New Roman" w:hAnsi="Times New Roman" w:eastAsia="바탕"/>
                <w:color w:val="606068"/>
                <w:sz w:val="18"/>
              </w:rPr>
              <w:t xml:space="preserve"> The two vertical orders of the verdict screen. The red arrow marks where the pictogram was moved up two places on the prescription side. The colour-and-symbol band is pushed down with it.</w:t>
            </w:r>
          </w:p>
          <w:p>
            <w:pPr>
              <w:spacing w:after="80" w:line="276" w:lineRule="auto"/>
              <w:jc w:val="both"/>
            </w:pPr>
            <w:r>
              <w:rPr>
                <w:rFonts w:ascii="Times New Roman" w:hAnsi="Times New Roman" w:eastAsia="바탕"/>
                <w:sz w:val="20"/>
              </w:rPr>
              <w:t>The difference between the two versions is at positions 4 and 3. For prescriptions the pictograms were moved above the text cards. They were below at first, and a user who cannot read scanning from the top had to pass three empty cards before reaching a picture. Changing the order alone removes those three.</w:t>
            </w:r>
          </w:p>
          <w:p>
            <w:pPr>
              <w:spacing w:after="80" w:line="276" w:lineRule="auto"/>
              <w:jc w:val="both"/>
            </w:pPr>
            <w:r>
              <w:rPr>
                <w:rFonts w:ascii="Times New Roman" w:hAnsi="Times New Roman" w:eastAsia="바탕"/>
                <w:sz w:val="20"/>
              </w:rPr>
              <w:t>Cutting the nutrient bars to three follows the same criterion. Items below 5% of the daily reference and items already sufficient are dropped, and only the top three of what remains are shown. Showing all ten lines buries which one is the problem.</w:t>
            </w:r>
          </w:p>
          <w:p>
            <w:pPr>
              <w:spacing w:before="120" w:after="20"/>
            </w:pPr>
            <w:r>
              <w:rPr>
                <w:rFonts w:ascii="Times New Roman" w:hAnsi="Times New Roman" w:eastAsia="바탕"/>
                <w:b/>
                <w:sz w:val="21"/>
              </w:rPr>
              <w:t>3.3.5 What determines the verdict</w:t>
            </w:r>
          </w:p>
          <w:p>
            <w:pPr>
              <w:spacing w:after="80" w:line="276" w:lineRule="auto"/>
              <w:jc w:val="both"/>
            </w:pPr>
            <w:r>
              <w:rPr>
                <w:rFonts w:ascii="Times New Roman" w:hAnsi="Times New Roman" w:eastAsia="바탕"/>
                <w:sz w:val="20"/>
              </w:rPr>
              <w:t>Colour has three levels and is derived from the user's conditions. Where several grounds apply, the worst wins.</w:t>
            </w:r>
          </w:p>
          <w:p>
            <w:pPr>
              <w:spacing w:after="80" w:line="276" w:lineRule="auto"/>
              <w:jc w:val="both"/>
            </w:pPr>
            <w:r>
              <w:rPr>
                <w:rFonts w:ascii="Times New Roman" w:hAnsi="Times New Roman" w:eastAsia="바탕"/>
                <w:sz w:val="20"/>
              </w:rPr>
              <w:t>[Table 16] Grounds that raise the verdict level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Ground</w:t>
                  </w:r>
                </w:p>
              </w:tc>
              <w:tc>
                <w:tcPr>
                  <w:tcW w:type="dxa" w:w="3238"/>
                  <w:shd w:val="clear" w:fill="F2F2F2"/>
                </w:tcPr>
                <w:p>
                  <w:r>
                    <w:rPr>
                      <w:rFonts w:ascii="Times New Roman" w:hAnsi="Times New Roman" w:eastAsia="바탕"/>
                      <w:b/>
                      <w:sz w:val="18"/>
                    </w:rPr>
                    <w:t>How it applies</w:t>
                  </w:r>
                </w:p>
              </w:tc>
              <w:tc>
                <w:tcPr>
                  <w:tcW w:type="dxa" w:w="3238"/>
                  <w:shd w:val="clear" w:fill="F2F2F2"/>
                </w:tcPr>
                <w:p>
                  <w:r>
                    <w:rPr>
                      <w:rFonts w:ascii="Times New Roman" w:hAnsi="Times New Roman" w:eastAsia="바탕"/>
                      <w:b/>
                      <w:sz w:val="18"/>
                    </w:rPr>
                    <w:t>Result</w:t>
                  </w:r>
                </w:p>
              </w:tc>
            </w:tr>
            <w:tr>
              <w:tc>
                <w:tcPr>
                  <w:tcW w:type="dxa" w:w="3238"/>
                </w:tcPr>
                <w:p>
                  <w:r>
                    <w:rPr>
                      <w:rFonts w:ascii="Times New Roman" w:hAnsi="Times New Roman" w:eastAsia="바탕"/>
                      <w:sz w:val="18"/>
                    </w:rPr>
                    <w:t>Conflict between a user condition and an ingredient</w:t>
                  </w:r>
                </w:p>
              </w:tc>
              <w:tc>
                <w:tcPr>
                  <w:tcW w:type="dxa" w:w="3238"/>
                </w:tcPr>
                <w:p>
                  <w:r>
                    <w:rPr>
                      <w:rFonts w:ascii="Times New Roman" w:hAnsi="Times New Roman" w:eastAsia="바탕"/>
                      <w:sz w:val="18"/>
                    </w:rPr>
                    <w:t>The trigger ingredient of a condition the user selected is present in this item</w:t>
                  </w:r>
                </w:p>
              </w:tc>
              <w:tc>
                <w:tcPr>
                  <w:tcW w:type="dxa" w:w="3238"/>
                </w:tcPr>
                <w:p>
                  <w:r>
                    <w:rPr>
                      <w:rFonts w:ascii="Times New Roman" w:hAnsi="Times New Roman" w:eastAsia="바탕"/>
                      <w:sz w:val="18"/>
                    </w:rPr>
                    <w:t>Varies by condition. Peanut allergy gives avoid, diabetes gives caution</w:t>
                  </w:r>
                </w:p>
              </w:tc>
            </w:tr>
            <w:tr>
              <w:tc>
                <w:tcPr>
                  <w:tcW w:type="dxa" w:w="3238"/>
                </w:tcPr>
                <w:p>
                  <w:r>
                    <w:rPr>
                      <w:rFonts w:ascii="Times New Roman" w:hAnsi="Times New Roman" w:eastAsia="바탕"/>
                      <w:sz w:val="18"/>
                    </w:rPr>
                    <w:t>Not confident what it is</w:t>
                  </w:r>
                </w:p>
              </w:tc>
              <w:tc>
                <w:tcPr>
                  <w:tcW w:type="dxa" w:w="3238"/>
                </w:tcPr>
                <w:p>
                  <w:r>
                    <w:rPr>
                      <w:rFonts w:ascii="Times New Roman" w:hAnsi="Times New Roman" w:eastAsia="바탕"/>
                      <w:sz w:val="18"/>
                    </w:rPr>
                    <w:t>Vision model confidence below 0.4, or all nutrient values returned as zero</w:t>
                  </w:r>
                </w:p>
              </w:tc>
              <w:tc>
                <w:tcPr>
                  <w:tcW w:type="dxa" w:w="3238"/>
                </w:tcPr>
                <w:p>
                  <w:r>
                    <w:rPr>
                      <w:rFonts w:ascii="Times New Roman" w:hAnsi="Times New Roman" w:eastAsia="바탕"/>
                      <w:sz w:val="18"/>
                    </w:rPr>
                    <w:t>Fixed at caution</w:t>
                  </w:r>
                </w:p>
              </w:tc>
            </w:tr>
            <w:tr>
              <w:tc>
                <w:tcPr>
                  <w:tcW w:type="dxa" w:w="3238"/>
                </w:tcPr>
                <w:p>
                  <w:r>
                    <w:rPr>
                      <w:rFonts w:ascii="Times New Roman" w:hAnsi="Times New Roman" w:eastAsia="바탕"/>
                      <w:sz w:val="18"/>
                    </w:rPr>
                    <w:t>A whole day's allowance at once</w:t>
                  </w:r>
                </w:p>
              </w:tc>
              <w:tc>
                <w:tcPr>
                  <w:tcW w:type="dxa" w:w="3238"/>
                </w:tcPr>
                <w:p>
                  <w:r>
                    <w:rPr>
                      <w:rFonts w:ascii="Times New Roman" w:hAnsi="Times New Roman" w:eastAsia="바탕"/>
                      <w:sz w:val="18"/>
                    </w:rPr>
                    <w:t>100% or more of this person's daily limit</w:t>
                  </w:r>
                </w:p>
              </w:tc>
              <w:tc>
                <w:tcPr>
                  <w:tcW w:type="dxa" w:w="3238"/>
                </w:tcPr>
                <w:p>
                  <w:r>
                    <w:rPr>
                      <w:rFonts w:ascii="Times New Roman" w:hAnsi="Times New Roman" w:eastAsia="바탕"/>
                      <w:sz w:val="18"/>
                    </w:rPr>
                    <w:t>Caution</w:t>
                  </w:r>
                </w:p>
              </w:tc>
            </w:tr>
            <w:tr>
              <w:tc>
                <w:tcPr>
                  <w:tcW w:type="dxa" w:w="3238"/>
                </w:tcPr>
                <w:p>
                  <w:r>
                    <w:rPr>
                      <w:rFonts w:ascii="Times New Roman" w:hAnsi="Times New Roman" w:eastAsia="바탕"/>
                      <w:sz w:val="18"/>
                    </w:rPr>
                    <w:t>Interaction with a medicine being taken</w:t>
                  </w:r>
                </w:p>
              </w:tc>
              <w:tc>
                <w:tcPr>
                  <w:tcW w:type="dxa" w:w="3238"/>
                </w:tcPr>
                <w:p>
                  <w:r>
                    <w:rPr>
                      <w:rFonts w:ascii="Times New Roman" w:hAnsi="Times New Roman" w:eastAsia="바탕"/>
                      <w:sz w:val="18"/>
                    </w:rPr>
                    <w:t>Conflict with an already registered medicine</w:t>
                  </w:r>
                </w:p>
              </w:tc>
              <w:tc>
                <w:tcPr>
                  <w:tcW w:type="dxa" w:w="3238"/>
                </w:tcPr>
                <w:p>
                  <w:r>
                    <w:rPr>
                      <w:rFonts w:ascii="Times New Roman" w:hAnsi="Times New Roman" w:eastAsia="바탕"/>
                      <w:sz w:val="18"/>
                    </w:rPr>
                    <w:t>Fixed at avoid</w:t>
                  </w:r>
                </w:p>
              </w:tc>
            </w:tr>
          </w:tbl>
          <w:p/>
          <w:p>
            <w:pPr>
              <w:spacing w:after="120"/>
            </w:pPr>
          </w:p>
          <w:p>
            <w:pPr>
              <w:spacing w:after="80" w:line="276" w:lineRule="auto"/>
              <w:jc w:val="both"/>
            </w:pPr>
            <w:r>
              <w:rPr>
                <w:rFonts w:ascii="Times New Roman" w:hAnsi="Times New Roman" w:eastAsia="바탕"/>
                <w:sz w:val="20"/>
              </w:rPr>
              <w:t>The third row is why this app's verdict differs from person to person. Because the daily limit is derived from the user's age band rather than taken from a table (§2.4), the same snack can come out as caution for a 65-year-old and safe for an adult.</w:t>
            </w:r>
          </w:p>
          <w:p>
            <w:pPr>
              <w:spacing w:after="80" w:line="276" w:lineRule="auto"/>
              <w:jc w:val="both"/>
            </w:pPr>
            <w:r>
              <w:rPr>
                <w:rFonts w:ascii="Times New Roman" w:hAnsi="Times New Roman" w:eastAsia="바탕"/>
                <w:sz w:val="20"/>
              </w:rPr>
              <w:t>The second row was added later. The vision model tends to return all values as zero when it is not confident, and zero passes every one of the physical checks in §4.2. It catches on no check at all and is displayed as a green "safe." A separate judgement, that all zeros means the item was not recognised, was therefore added apart from the physical checks.</w:t>
            </w:r>
          </w:p>
          <w:p>
            <w:pPr>
              <w:spacing w:after="80" w:line="276" w:lineRule="auto"/>
              <w:jc w:val="both"/>
            </w:pPr>
            <w:r>
              <w:rPr>
                <w:rFonts w:ascii="Times New Roman" w:hAnsi="Times New Roman" w:eastAsia="바탕"/>
                <w:sz w:val="20"/>
              </w:rPr>
              <w:t>The screen during recognition and the resulting verdict screen are in Figure 22(b) and (c).</w:t>
            </w:r>
          </w:p>
          <w:p>
            <w:pPr>
              <w:spacing w:before="180" w:after="40"/>
            </w:pPr>
            <w:r>
              <w:rPr>
                <w:rFonts w:ascii="Times New Roman" w:hAnsi="Times New Roman" w:eastAsia="바탕"/>
                <w:b/>
                <w:sz w:val="23"/>
              </w:rPr>
              <w:t>3.4 The path when recognition fails</w:t>
            </w:r>
          </w:p>
          <w:p>
            <w:pPr>
              <w:spacing w:after="80" w:line="276" w:lineRule="auto"/>
              <w:jc w:val="both"/>
            </w:pPr>
            <w:r>
              <w:rPr>
                <w:rFonts w:ascii="Times New Roman" w:hAnsi="Times New Roman" w:eastAsia="바탕"/>
                <w:sz w:val="20"/>
              </w:rPr>
              <w:t>There are cases where what was photographed cannot be read. What is shown at that moment determines the next action.</w:t>
            </w:r>
          </w:p>
          <w:p>
            <w:pPr>
              <w:spacing w:after="80" w:line="276" w:lineRule="auto"/>
              <w:jc w:val="both"/>
            </w:pPr>
            <w:r>
              <w:rPr>
                <w:rFonts w:ascii="Times New Roman" w:hAnsi="Times New Roman" w:eastAsia="바탕"/>
                <w:sz w:val="20"/>
              </w:rPr>
              <w:t>The failure sentence is spoken aloud at the same time as it appears on screen. There is a reason this behaviour was added later. Every other screen in the app speaks through pictures and speech, yet on failure alone a single line of text sat there silently. For a user who cannot read, that screen is the same as nothing having happened. The one moment that most needed help was the only one demanding text.</w:t>
            </w:r>
          </w:p>
          <w:p>
            <w:pPr>
              <w:spacing w:after="80" w:line="276" w:lineRule="auto"/>
              <w:jc w:val="both"/>
            </w:pPr>
            <w:r>
              <w:rPr>
                <w:rFonts w:ascii="Times New Roman" w:hAnsi="Times New Roman" w:eastAsia="바탕"/>
                <w:sz w:val="20"/>
              </w:rPr>
              <w:t>Alongside the sentence come one picture and a two-word instruction.</w:t>
            </w:r>
          </w:p>
          <w:p>
            <w:pPr>
              <w:spacing w:after="80" w:line="276" w:lineRule="auto"/>
              <w:jc w:val="both"/>
            </w:pPr>
            <w:r>
              <w:rPr>
                <w:rFonts w:ascii="Times New Roman" w:hAnsi="Times New Roman" w:eastAsia="바탕"/>
                <w:sz w:val="20"/>
              </w:rPr>
              <w:t>[Table 17] Failure guidance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Situation</w:t>
                  </w:r>
                </w:p>
              </w:tc>
              <w:tc>
                <w:tcPr>
                  <w:tcW w:type="dxa" w:w="2429"/>
                  <w:shd w:val="clear" w:fill="F2F2F2"/>
                </w:tcPr>
                <w:p>
                  <w:r>
                    <w:rPr>
                      <w:rFonts w:ascii="Times New Roman" w:hAnsi="Times New Roman" w:eastAsia="바탕"/>
                      <w:b/>
                      <w:sz w:val="18"/>
                    </w:rPr>
                    <w:t>Picture</w:t>
                  </w:r>
                </w:p>
              </w:tc>
              <w:tc>
                <w:tcPr>
                  <w:tcW w:type="dxa" w:w="2429"/>
                  <w:shd w:val="clear" w:fill="F2F2F2"/>
                </w:tcPr>
                <w:p>
                  <w:r>
                    <w:rPr>
                      <w:rFonts w:ascii="Times New Roman" w:hAnsi="Times New Roman" w:eastAsia="바탕"/>
                      <w:b/>
                      <w:sz w:val="18"/>
                    </w:rPr>
                    <w:t>Instruction</w:t>
                  </w:r>
                </w:p>
              </w:tc>
              <w:tc>
                <w:tcPr>
                  <w:tcW w:type="dxa" w:w="2429"/>
                  <w:shd w:val="clear" w:fill="F2F2F2"/>
                </w:tcPr>
                <w:p>
                  <w:r>
                    <w:rPr>
                      <w:rFonts w:ascii="Times New Roman" w:hAnsi="Times New Roman" w:eastAsia="바탕"/>
                      <w:b/>
                      <w:sz w:val="18"/>
                    </w:rPr>
                    <w:t>What it asks for</w:t>
                  </w:r>
                </w:p>
              </w:tc>
            </w:tr>
            <w:tr>
              <w:tc>
                <w:tcPr>
                  <w:tcW w:type="dxa" w:w="2429"/>
                </w:tcPr>
                <w:p>
                  <w:r>
                    <w:rPr>
                      <w:rFonts w:ascii="Times New Roman" w:hAnsi="Times New Roman" w:eastAsia="바탕"/>
                      <w:sz w:val="18"/>
                    </w:rPr>
                    <w:t>Table read but values unstable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Fill the frame from closer and retry</w:t>
                  </w:r>
                </w:p>
              </w:tc>
            </w:tr>
            <w:tr>
              <w:tc>
                <w:tcPr>
                  <w:tcW w:type="dxa" w:w="2429"/>
                </w:tcPr>
                <w:p>
                  <w:r>
                    <w:rPr>
                      <w:rFonts w:ascii="Times New Roman" w:hAnsi="Times New Roman" w:eastAsia="바탕"/>
                      <w:sz w:val="18"/>
                    </w:rPr>
                    <w:t>Paper folded or skewed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Flatten it out and retry</w:t>
                  </w:r>
                </w:p>
              </w:tc>
            </w:tr>
            <w:tr>
              <w:tc>
                <w:tcPr>
                  <w:tcW w:type="dxa" w:w="2429"/>
                </w:tcPr>
                <w:p>
                  <w:r>
                    <w:rPr>
                      <w:rFonts w:ascii="Times New Roman" w:hAnsi="Times New Roman" w:eastAsia="바탕"/>
                      <w:sz w:val="18"/>
                    </w:rPr>
                    <w:t>Camera shake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Steady the hand and retry</w:t>
                  </w:r>
                </w:p>
              </w:tc>
            </w:tr>
            <w:tr>
              <w:tc>
                <w:tcPr>
                  <w:tcW w:type="dxa" w:w="2429"/>
                </w:tcPr>
                <w:p>
                  <w:r>
                    <w:rPr>
                      <w:rFonts w:ascii="Times New Roman" w:hAnsi="Times New Roman" w:eastAsia="바탕"/>
                      <w:sz w:val="18"/>
                    </w:rPr>
                    <w:t>Could not reach the server</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Retrying will not help. Photograph a label or pick a sample</w:t>
                  </w:r>
                </w:p>
              </w:tc>
            </w:tr>
            <w:tr>
              <w:tc>
                <w:tcPr>
                  <w:tcW w:type="dxa" w:w="2429"/>
                </w:tcPr>
                <w:p>
                  <w:r>
                    <w:rPr>
                      <w:rFonts w:ascii="Times New Roman" w:hAnsi="Times New Roman" w:eastAsia="바탕"/>
                      <w:sz w:val="18"/>
                    </w:rPr>
                    <w:t>Not recognised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Taking another photograph will do</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29]</w:t>
            </w:r>
            <w:r>
              <w:rPr>
                <w:rFonts w:ascii="Times New Roman" w:hAnsi="Times New Roman" w:eastAsia="바탕"/>
                <w:color w:val="606068"/>
                <w:sz w:val="18"/>
              </w:rPr>
              <w:t xml:space="preserve"> The two paths a failure takes. On the left, failures that another photograph will fix; on the right, failures another photograph will not. This split is why server responses 422 and 501 are handled separately.</w:t>
            </w:r>
          </w:p>
          <w:p>
            <w:pPr>
              <w:spacing w:after="80" w:line="276" w:lineRule="auto"/>
              <w:jc w:val="both"/>
            </w:pPr>
            <w:r>
              <w:rPr>
                <w:rFonts w:ascii="Times New Roman" w:hAnsi="Times New Roman" w:eastAsia="바탕"/>
                <w:sz w:val="20"/>
              </w:rPr>
              <w:t>What matters in this table is that the fourth and fifth rows are separated. Server responses are handled separately as 501 (no means available) and 422 (not recognised). If it was not recognised, taking another photograph is the answer, but if there is no connection a hundred more photographs give the same result. Showing the same sentence in both cases leaves the user retaking photographs until it works.</w:t>
            </w:r>
          </w:p>
          <w:p>
            <w:pPr>
              <w:spacing w:after="80" w:line="276" w:lineRule="auto"/>
              <w:jc w:val="both"/>
            </w:pPr>
            <w:r>
              <w:rPr>
                <w:rFonts w:ascii="Times New Roman" w:hAnsi="Times New Roman" w:eastAsia="바탕"/>
                <w:sz w:val="20"/>
              </w:rPr>
              <w:t>On failure, a list of samples unfolds at the bottom of the screen. It stays collapsed normally and appears only at the moment of failure. There is no reason for someone whose scans are working to see it, and someone who is stuck needs to see that another route exists.</w:t>
            </w:r>
          </w:p>
          <w:p>
            <w:pPr>
              <w:spacing w:after="80" w:line="276" w:lineRule="auto"/>
              <w:jc w:val="both"/>
            </w:pPr>
            <w:r>
              <w:rPr>
                <w:rFonts w:ascii="Times New Roman" w:hAnsi="Times New Roman" w:eastAsia="바탕"/>
                <w:sz w:val="20"/>
              </w:rPr>
              <w:t>No separate "retry" button was added. The shutter is still in place and returns to a pressable state, so adding another button would put two things doing the same job on the screen.</w:t>
            </w:r>
          </w:p>
          <w:p>
            <w:pPr>
              <w:spacing w:before="180" w:after="40"/>
            </w:pPr>
            <w:r>
              <w:rPr>
                <w:rFonts w:ascii="Times New Roman" w:hAnsi="Times New Roman" w:eastAsia="바탕"/>
                <w:b/>
                <w:sz w:val="23"/>
              </w:rPr>
              <w:t>3.5 Routes to the audio</w:t>
            </w:r>
          </w:p>
          <w:p>
            <w:pPr>
              <w:spacing w:after="80" w:line="276" w:lineRule="auto"/>
              <w:jc w:val="both"/>
            </w:pPr>
            <w:r>
              <w:rPr>
                <w:rFonts w:ascii="Times New Roman" w:hAnsi="Times New Roman" w:eastAsia="바탕"/>
                <w:sz w:val="20"/>
              </w:rPr>
              <w:t>Speech plays once automatically on arriving at the verdict screen. The listener cannot rewind it, however. Every sentence on the screen is therefore something that can be pressed to hear again.</w:t>
            </w:r>
          </w:p>
          <w:p>
            <w:pPr>
              <w:spacing w:after="80" w:line="276" w:lineRule="auto"/>
              <w:jc w:val="both"/>
            </w:pPr>
            <w:r>
              <w:rPr>
                <w:rFonts w:ascii="Times New Roman" w:hAnsi="Times New Roman" w:eastAsia="바탕"/>
                <w:sz w:val="20"/>
              </w:rPr>
              <w:t>This design responds to the IVR research in §1.10. What that study identified as the main difficulties for older users were speech rate and the length of options. Even if it is not all taken in at once, the part that is needed can be heard again.</w:t>
            </w:r>
          </w:p>
          <w:p>
            <w:pPr>
              <w:spacing w:before="120" w:after="20"/>
            </w:pPr>
            <w:r>
              <w:rPr>
                <w:rFonts w:ascii="Times New Roman" w:hAnsi="Times New Roman" w:eastAsia="바탕"/>
                <w:b/>
                <w:sz w:val="21"/>
              </w:rPr>
              <w:t>3.5.1 Signalling that something can be pressed</w:t>
            </w:r>
          </w:p>
          <w:p>
            <w:pPr>
              <w:spacing w:after="80" w:line="276" w:lineRule="auto"/>
              <w:jc w:val="both"/>
            </w:pPr>
            <w:r>
              <w:rPr>
                <w:rFonts w:ascii="Times New Roman" w:hAnsi="Times New Roman" w:eastAsia="바탕"/>
                <w:sz w:val="20"/>
              </w:rPr>
              <w:t xml:space="preserve">This design had a defect that surfaced during development. </w:t>
            </w:r>
            <w:r>
              <w:rPr>
                <w:rFonts w:ascii="Times New Roman" w:hAnsi="Times New Roman" w:eastAsia="바탕"/>
                <w:b/>
                <w:sz w:val="20"/>
              </w:rPr>
              <w:t>There were 78 pressable places and only nine visible indicators</w:t>
            </w:r>
            <w:r>
              <w:rPr>
                <w:rFonts w:ascii="Times New Roman" w:hAnsi="Times New Roman" w:eastAsia="바탕"/>
                <w:sz w:val="20"/>
              </w:rPr>
              <w:t>, and those nine were emoji at 0.75 times body size with 40% opacity. The capability existed but where to press was invisible, and for a user with reduced vision that is the same as its not being there.</w:t>
            </w:r>
          </w:p>
          <w:p>
            <w:pPr>
              <w:spacing w:after="80" w:line="276" w:lineRule="auto"/>
              <w:jc w:val="both"/>
            </w:pPr>
            <w:r>
              <w:rPr>
                <w:rFonts w:ascii="Times New Roman" w:hAnsi="Times New Roman" w:eastAsia="바탕"/>
                <w:sz w:val="20"/>
              </w:rPr>
              <w:t>Drawing the indicator larger is only half of it. Pressing is a tool for someone who already knows there is audio, and to someone opening the app for the first time a speaker glyph is just another picture. Three things were therefore put in place together.</w:t>
            </w:r>
          </w:p>
          <w:p>
            <w:pPr>
              <w:spacing w:after="80" w:line="276" w:lineRule="auto"/>
              <w:jc w:val="both"/>
            </w:pPr>
            <w:r>
              <w:rPr>
                <w:rFonts w:ascii="Times New Roman" w:hAnsi="Times New Roman" w:eastAsia="바탕"/>
                <w:sz w:val="20"/>
              </w:rPr>
              <w:t>[Table 18] Three routes to the audio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Route</w:t>
                  </w:r>
                </w:p>
              </w:tc>
              <w:tc>
                <w:tcPr>
                  <w:tcW w:type="dxa" w:w="3238"/>
                  <w:shd w:val="clear" w:fill="F2F2F2"/>
                </w:tcPr>
                <w:p>
                  <w:r>
                    <w:rPr>
                      <w:rFonts w:ascii="Times New Roman" w:hAnsi="Times New Roman" w:eastAsia="바탕"/>
                      <w:b/>
                      <w:sz w:val="18"/>
                    </w:rPr>
                    <w:t>What it does</w:t>
                  </w:r>
                </w:p>
              </w:tc>
              <w:tc>
                <w:tcPr>
                  <w:tcW w:type="dxa" w:w="3238"/>
                  <w:shd w:val="clear" w:fill="F2F2F2"/>
                </w:tcPr>
                <w:p>
                  <w:r>
                    <w:rPr>
                      <w:rFonts w:ascii="Times New Roman" w:hAnsi="Times New Roman" w:eastAsia="바탕"/>
                      <w:b/>
                      <w:sz w:val="18"/>
                    </w:rPr>
                    <w:t>Why it is needed</w:t>
                  </w:r>
                </w:p>
              </w:tc>
            </w:tr>
            <w:tr>
              <w:tc>
                <w:tcPr>
                  <w:tcW w:type="dxa" w:w="3238"/>
                </w:tcPr>
                <w:p>
                  <w:r>
                    <w:rPr>
                      <w:rFonts w:ascii="Times New Roman" w:hAnsi="Times New Roman" w:eastAsia="바탕"/>
                      <w:sz w:val="18"/>
                    </w:rPr>
                    <w:t>Speaks on arrival</w:t>
                  </w:r>
                </w:p>
              </w:tc>
              <w:tc>
                <w:tcPr>
                  <w:tcW w:type="dxa" w:w="3238"/>
                </w:tcPr>
                <w:p>
                  <w:r>
                    <w:rPr>
                      <w:rFonts w:ascii="Times New Roman" w:hAnsi="Times New Roman" w:eastAsia="바탕"/>
                      <w:sz w:val="18"/>
                    </w:rPr>
                    <w:t>One line per screen, "what this screen is asking"</w:t>
                  </w:r>
                </w:p>
              </w:tc>
              <w:tc>
                <w:tcPr>
                  <w:tcW w:type="dxa" w:w="3238"/>
                </w:tcPr>
                <w:p>
                  <w:r>
                    <w:rPr>
                      <w:rFonts w:ascii="Times New Roman" w:hAnsi="Times New Roman" w:eastAsia="바탕"/>
                      <w:sz w:val="18"/>
                    </w:rPr>
                    <w:t>There is nothing to look for. Nothing has to be pressed</w:t>
                  </w:r>
                </w:p>
              </w:tc>
            </w:tr>
            <w:tr>
              <w:tc>
                <w:tcPr>
                  <w:tcW w:type="dxa" w:w="3238"/>
                </w:tcPr>
                <w:p>
                  <w:r>
                    <w:rPr>
                      <w:rFonts w:ascii="Times New Roman" w:hAnsi="Times New Roman" w:eastAsia="바탕"/>
                      <w:sz w:val="18"/>
                    </w:rPr>
                    <w:t>Sweep the screen to hear it</w:t>
                  </w:r>
                </w:p>
              </w:tc>
              <w:tc>
                <w:tcPr>
                  <w:tcW w:type="dxa" w:w="3238"/>
                </w:tcPr>
                <w:p>
                  <w:r>
                    <w:rPr>
                      <w:rFonts w:ascii="Times New Roman" w:hAnsi="Times New Roman" w:eastAsia="바탕"/>
                      <w:sz w:val="18"/>
                    </w:rPr>
                    <w:t>Press and hold, then slide, and whatever passes under the finger is read in turn</w:t>
                  </w:r>
                </w:p>
              </w:tc>
              <w:tc>
                <w:tcPr>
                  <w:tcW w:type="dxa" w:w="3238"/>
                </w:tcPr>
                <w:p>
                  <w:r>
                    <w:rPr>
                      <w:rFonts w:ascii="Times New Roman" w:hAnsi="Times New Roman" w:eastAsia="바탕"/>
                      <w:sz w:val="18"/>
                    </w:rPr>
                    <w:t>There is no need to know in advance where the audio is</w:t>
                  </w:r>
                </w:p>
              </w:tc>
            </w:tr>
            <w:tr>
              <w:tc>
                <w:tcPr>
                  <w:tcW w:type="dxa" w:w="3238"/>
                </w:tcPr>
                <w:p>
                  <w:r>
                    <w:rPr>
                      <w:rFonts w:ascii="Times New Roman" w:hAnsi="Times New Roman" w:eastAsia="바탕"/>
                      <w:sz w:val="18"/>
                    </w:rPr>
                    <w:t>Read the whole screen</w:t>
                  </w:r>
                </w:p>
              </w:tc>
              <w:tc>
                <w:tcPr>
                  <w:tcW w:type="dxa" w:w="3238"/>
                </w:tcPr>
                <w:p>
                  <w:r>
                    <w:rPr>
                      <w:rFonts w:ascii="Times New Roman" w:hAnsi="Times New Roman" w:eastAsia="바탕"/>
                      <w:sz w:val="18"/>
                    </w:rPr>
                    <w:t>One cell in the bottom tab bar</w:t>
                  </w:r>
                </w:p>
              </w:tc>
              <w:tc>
                <w:tcPr>
                  <w:tcW w:type="dxa" w:w="3238"/>
                </w:tcPr>
                <w:p>
                  <w:r>
                    <w:rPr>
                      <w:rFonts w:ascii="Times New Roman" w:hAnsi="Times New Roman" w:eastAsia="바탕"/>
                      <w:sz w:val="18"/>
                    </w:rPr>
                    <w:t>Hear it again from start to finish</w:t>
                  </w:r>
                </w:p>
              </w:tc>
            </w:tr>
          </w:tbl>
          <w:p/>
          <w:p>
            <w:pPr>
              <w:spacing w:after="120"/>
            </w:pPr>
          </w:p>
          <w:p>
            <w:pPr>
              <w:spacing w:after="80" w:line="276" w:lineRule="auto"/>
              <w:jc w:val="both"/>
            </w:pPr>
            <w:r>
              <w:rPr>
                <w:rFonts w:ascii="Times New Roman" w:hAnsi="Times New Roman" w:eastAsia="바탕"/>
                <w:sz w:val="20"/>
              </w:rPr>
              <w:t>The arrival announcement reads one line per screen. Reading everything would pour a paragraph out on every screen change, and then the user turns the speech off. That is the worst outcome in this app. Once it is off, nothing is heard at all.</w:t>
            </w:r>
          </w:p>
          <w:p>
            <w:pPr>
              <w:spacing w:after="80" w:line="276" w:lineRule="auto"/>
              <w:jc w:val="both"/>
            </w:pPr>
            <w:r>
              <w:rPr>
                <w:rFonts w:ascii="Times New Roman" w:hAnsi="Times New Roman" w:eastAsia="바탕"/>
                <w:sz w:val="20"/>
              </w:rPr>
              <w:t>The grey speaker circles that sat on every line were taken away. Having attached audio everywhere audio could go, eight to ten circles ended up tiled across a single screen, while the thing being pressed was the whole line and the circle was only a sign saying "there is audio here". What occupied the most space on the screen was not a function but a sign.</w:t>
            </w:r>
          </w:p>
          <w:p>
            <w:pPr>
              <w:spacing w:after="80" w:line="276" w:lineRule="auto"/>
              <w:jc w:val="both"/>
            </w:pPr>
            <w:r>
              <w:rPr>
                <w:rFonts w:ascii="Times New Roman" w:hAnsi="Times New Roman" w:eastAsia="바탕"/>
                <w:sz w:val="20"/>
              </w:rPr>
              <w:t>The sign was there because we held that the user has to be told in advance where the audio is. Being able to sweep removes that premise. Press and hold, slide, and what passes under the finger is read in turn, so it is swept rather than searched for. This is how a screen reader navigates, and it is closer to the criterion established in §1.10, that no step requiring explanation should be created.</w:t>
            </w:r>
          </w:p>
          <w:p>
            <w:pPr>
              <w:spacing w:after="80" w:line="276" w:lineRule="auto"/>
              <w:jc w:val="both"/>
            </w:pPr>
            <w:r>
              <w:rPr>
                <w:rFonts w:ascii="Times New Roman" w:hAnsi="Times New Roman" w:eastAsia="바탕"/>
                <w:sz w:val="20"/>
              </w:rPr>
              <w:t xml:space="preserve">The signs did not disappear altogether; they became transient. While a sweep is in progress </w:t>
            </w:r>
            <w:r>
              <w:rPr>
                <w:rFonts w:ascii="Consolas" w:hAnsi="Consolas" w:eastAsia="Consolas"/>
                <w:sz w:val="19"/>
              </w:rPr>
              <w:t>html[data-hearing]</w:t>
            </w:r>
            <w:r>
              <w:rPr>
                <w:rFonts w:ascii="Times New Roman" w:hAnsi="Times New Roman" w:eastAsia="바탕"/>
                <w:sz w:val="20"/>
              </w:rPr>
              <w:t xml:space="preserve"> reveals them, and they go quiet again when the finger lifts (</w:t>
            </w:r>
            <w:r>
              <w:rPr>
                <w:rFonts w:ascii="Consolas" w:hAnsi="Consolas" w:eastAsia="Consolas"/>
                <w:sz w:val="19"/>
              </w:rPr>
              <w:t>app/globals.css</w:t>
            </w:r>
            <w:r>
              <w:rPr>
                <w:rFonts w:ascii="Times New Roman" w:hAnsi="Times New Roman" w:eastAsia="바탕"/>
                <w:sz w:val="20"/>
              </w:rPr>
              <w:t>). So the screen shows where the audio is exactly while the user is looking for it, and shows nothing the rest of the time.</w:t>
            </w:r>
          </w:p>
          <w:p>
            <w:pPr>
              <w:spacing w:after="80" w:line="276" w:lineRule="auto"/>
              <w:jc w:val="both"/>
            </w:pPr>
            <w:r>
              <w:rPr>
                <w:rFonts w:ascii="Times New Roman" w:hAnsi="Times New Roman" w:eastAsia="바탕"/>
                <w:sz w:val="20"/>
              </w:rPr>
              <w:t xml:space="preserve">One thing has to be stated precisely here. What a sweep reveals is </w:t>
            </w:r>
            <w:r>
              <w:rPr>
                <w:rFonts w:ascii="Times New Roman" w:hAnsi="Times New Roman" w:eastAsia="바탕"/>
                <w:b/>
                <w:sz w:val="20"/>
              </w:rPr>
              <w:t>not all</w:t>
            </w:r>
            <w:r>
              <w:rPr>
                <w:rFonts w:ascii="Times New Roman" w:hAnsi="Times New Roman" w:eastAsia="바탕"/>
                <w:sz w:val="20"/>
              </w:rPr>
              <w:t xml:space="preserve"> of the places that carry audio. Counting on the home screen of the deployment, 14 places carry audio and 3 of them get a marker. Places wrapping a picture or a bar are called with </w:t>
            </w:r>
            <w:r>
              <w:rPr>
                <w:rFonts w:ascii="Consolas" w:hAnsi="Consolas" w:eastAsia="Consolas"/>
                <w:sz w:val="19"/>
              </w:rPr>
              <w:t>bare</w:t>
            </w:r>
            <w:r>
              <w:rPr>
                <w:rFonts w:ascii="Times New Roman" w:hAnsi="Times New Roman" w:eastAsia="바탕"/>
                <w:sz w:val="20"/>
              </w:rPr>
              <w:t xml:space="preserve"> and get no marker at all (six such call sites), because putting a grey circle over a picture covers the picture. A sweep still reads those places, but for someone who is not sweeping, the fact that audio is there never appears on screen. For a user who does not know about sweeping there is still audio that cannot be seen, and that is an item to settle with people present in the field evaluation of §5.10.</w:t>
            </w:r>
          </w:p>
          <w:p>
            <w:pPr>
              <w:spacing w:after="80" w:line="276" w:lineRule="auto"/>
              <w:jc w:val="both"/>
            </w:pPr>
            <w:r>
              <w:rPr>
                <w:rFonts w:ascii="Times New Roman" w:hAnsi="Times New Roman" w:eastAsia="바탕"/>
                <w:sz w:val="20"/>
              </w:rPr>
              <w:t>Nor did all the grey circles go. Where the row is itself a button, a button cannot be nested inside it, so a 44-pixel listen button sits beside it as a sibling. There are two such places on the home screen of the deployment, and the speaker is always visible there.</w:t>
            </w:r>
          </w:p>
          <w:p>
            <w:pPr>
              <w:spacing w:before="120" w:after="20"/>
            </w:pPr>
            <w:r>
              <w:rPr>
                <w:rFonts w:ascii="Times New Roman" w:hAnsi="Times New Roman" w:eastAsia="바탕"/>
                <w:b/>
                <w:sz w:val="21"/>
              </w:rPr>
              <w:t>3.5.2 Speaking the pictograms</w:t>
            </w:r>
          </w:p>
          <w:p>
            <w:pPr>
              <w:spacing w:after="80" w:line="276" w:lineRule="auto"/>
              <w:jc w:val="both"/>
            </w:pPr>
            <w:r>
              <w:rPr>
                <w:rFonts w:ascii="Times New Roman" w:hAnsi="Times New Roman" w:eastAsia="바탕"/>
                <w:sz w:val="20"/>
              </w:rPr>
              <w:t>The last thing discovered was that only the pictograms did not speak. The verdict, the product name and the nutrient figures could all be pressed and heard, while the pictures, the core contribution of this work, were silent.</w:t>
            </w:r>
          </w:p>
          <w:p>
            <w:pPr>
              <w:spacing w:after="80" w:line="276" w:lineRule="auto"/>
              <w:jc w:val="both"/>
            </w:pPr>
            <w:r>
              <w:rPr>
                <w:rFonts w:ascii="Times New Roman" w:hAnsi="Times New Roman" w:eastAsia="바탕"/>
                <w:sz w:val="20"/>
              </w:rPr>
              <w:t>The observation of van Beusekom et al. (2017) cited in §1.8 applies here directly. Three of ten symbols produced false confidence, believing one understands while not recognising the symbol, and that is a worse failure than having no picture. Someone who does not recognise a picture may at least ask, whereas someone who recognises it wrongly acts on it. The remedy the same paper offered was that comprehension rises when a pharmacist points out what the picture means. Pictures work better used alongside words than in place of them.</w:t>
            </w:r>
          </w:p>
          <w:p>
            <w:pPr>
              <w:spacing w:after="80" w:line="276" w:lineRule="auto"/>
              <w:jc w:val="both"/>
            </w:pPr>
            <w:r>
              <w:rPr>
                <w:rFonts w:ascii="Times New Roman" w:hAnsi="Times New Roman" w:eastAsia="바탕"/>
                <w:sz w:val="20"/>
              </w:rPr>
              <w:t>Our users have no pharmacist beside them. The app therefore takes that place. Pressing a picture makes it say what it means. What is read out is not the appearance of the picture but the action it prescribes.</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Saying "a tablet and a bowl" only repeats what is already being seen, while what is actually unknown, namely what one is being told to do, remains untouched.</w:t>
            </w:r>
          </w:p>
          <w:p>
            <w:pPr>
              <w:spacing w:after="80" w:line="276" w:lineRule="auto"/>
              <w:jc w:val="both"/>
            </w:pPr>
            <w:r>
              <w:rPr>
                <w:rFonts w:ascii="Times New Roman" w:hAnsi="Times New Roman" w:eastAsia="바탕"/>
                <w:sz w:val="20"/>
              </w:rPr>
              <w:t>Lines whose meaning is unknown are made unpressable altogether. An invented explanation would harden exactly that false confidence.</w:t>
            </w:r>
          </w:p>
          <w:p>
            <w:pPr>
              <w:spacing w:before="180" w:after="40"/>
            </w:pPr>
            <w:r>
              <w:rPr>
                <w:rFonts w:ascii="Times New Roman" w:hAnsi="Times New Roman" w:eastAsia="바탕"/>
                <w:b/>
                <w:sz w:val="23"/>
              </w:rPr>
              <w:t>3.6 Sharing a device and separating household members</w:t>
            </w:r>
          </w:p>
          <w:p>
            <w:pPr>
              <w:spacing w:after="80" w:line="276" w:lineRule="auto"/>
              <w:jc w:val="both"/>
            </w:pPr>
            <w:r>
              <w:rPr>
                <w:rFonts w:ascii="Times New Roman" w:hAnsi="Times New Roman" w:eastAsia="바탕"/>
                <w:sz w:val="20"/>
              </w:rPr>
              <w:t>In the target regions a smartphone is not a personal possession but the one device in the house (§1.6). If the app handles only one person, then when a grandmother and a grandchild share the same phone what the grandchild scans is added to the grandmother's daily total, and the blood thinner the grandmother takes fires on the grandchild's verdict. It is not merely that records mix; the verdict is wrong.</w:t>
            </w:r>
          </w:p>
          <w:p>
            <w:pPr>
              <w:spacing w:after="80" w:line="276" w:lineRule="auto"/>
              <w:jc w:val="both"/>
            </w:pPr>
            <w:r>
              <w:rPr>
                <w:rFonts w:ascii="Times New Roman" w:hAnsi="Times New Roman" w:eastAsia="바탕"/>
                <w:sz w:val="20"/>
              </w:rPr>
              <w:t>At the start, therefore, a face is chosen and the user enters their own space. Each space has its own picture key, and profile, history and reminders all accumulate separately. The screen has the same structure as an operating system lock screen. The member list and the lock share one screen, so there is no need to build a separate way back after choosing wrongly.</w:t>
            </w:r>
          </w:p>
          <w:p>
            <w:pPr>
              <w:spacing w:after="80" w:line="276" w:lineRule="auto"/>
              <w:jc w:val="both"/>
            </w:pPr>
            <w:r>
              <w:rPr>
                <w:rFonts w:ascii="Times New Roman" w:hAnsi="Times New Roman" w:eastAsia="바탕"/>
                <w:sz w:val="20"/>
              </w:rPr>
              <w:t>Someone using the phone alone never sees this screen. Asking a single person to choose is asking them to make a choice that does not exist.</w:t>
            </w:r>
          </w:p>
          <w:p>
            <w:pPr>
              <w:spacing w:after="80" w:line="276" w:lineRule="auto"/>
              <w:jc w:val="both"/>
            </w:pPr>
            <w:r>
              <w:rPr>
                <w:rFonts w:ascii="Times New Roman" w:hAnsi="Times New Roman" w:eastAsia="바탕"/>
                <w:sz w:val="20"/>
              </w:rPr>
              <w:t xml:space="preserve">The dividing point is a single storage key. The first person's data stays at </w:t>
            </w:r>
            <w:r>
              <w:rPr>
                <w:rFonts w:ascii="Consolas" w:hAnsi="Consolas" w:eastAsia="Consolas"/>
                <w:sz w:val="19"/>
              </w:rPr>
              <w:t>snapcare-profile</w:t>
            </w:r>
            <w:r>
              <w:rPr>
                <w:rFonts w:ascii="Times New Roman" w:hAnsi="Times New Roman" w:eastAsia="바탕"/>
                <w:sz w:val="20"/>
              </w:rPr>
              <w:t xml:space="preserve">, and from the second person on it goes to </w:t>
            </w:r>
            <w:r>
              <w:rPr>
                <w:rFonts w:ascii="Consolas" w:hAnsi="Consolas" w:eastAsia="Consolas"/>
                <w:sz w:val="19"/>
              </w:rPr>
              <w:t>snapcare-profile#&lt;id&gt;</w:t>
            </w:r>
            <w:r>
              <w:rPr>
                <w:rFonts w:ascii="Times New Roman" w:hAnsi="Times New Roman" w:eastAsia="바탕"/>
                <w:sz w:val="20"/>
              </w:rPr>
              <w:t>. Because this rule sits in the one layer that reads and writes data, the verdict, aggregation and inference code has no need to know how many people it is handling. The same rule covers the five things that must be separated: profile, history, reminders, session and suggestions. No suffix is attached to the first person's key so that data belonging to someone who was already using the app alone is not moved.</w:t>
            </w:r>
          </w:p>
          <w:p>
            <w:pPr>
              <w:spacing w:after="80" w:line="276" w:lineRule="auto"/>
              <w:jc w:val="both"/>
            </w:pPr>
            <w:r>
              <w:rPr>
                <w:rFonts w:ascii="Times New Roman" w:hAnsi="Times New Roman" w:eastAsia="바탕"/>
                <w:sz w:val="20"/>
              </w:rPr>
              <w:t>Names are still not asked for. Identity is one of eight faces (🧑 🧒 👶 🧓 👩 👨 👦 👧), and faces already taken drop out of the list so that two people cannot choose the same one. A colour is attached as well for cases where the face alone is confusing.</w:t>
            </w:r>
          </w:p>
          <w:p>
            <w:pPr>
              <w:spacing w:after="80" w:line="276" w:lineRule="auto"/>
              <w:jc w:val="both"/>
            </w:pPr>
            <w:r>
              <w:rPr>
                <w:rFonts w:ascii="Times New Roman" w:hAnsi="Times New Roman" w:eastAsia="바탕"/>
                <w:sz w:val="20"/>
              </w:rPr>
              <w:t>Switching between people does not merely swap the screen but reopens the app from the start. Re-reading the data in place can leave a part of the app still holding the previous person's allergy information, and nothing on screen would show that it is still there. A verdict produced in that state looks exactly like a correct one. The one second it costs to reopen is cheaper than that risk.</w:t>
            </w:r>
          </w:p>
          <w:p>
            <w:pPr>
              <w:spacing w:after="80" w:line="276" w:lineRule="auto"/>
              <w:jc w:val="both"/>
            </w:pPr>
            <w:r>
              <w:rPr>
                <w:rFonts w:ascii="Times New Roman" w:hAnsi="Times New Roman" w:eastAsia="바탕"/>
                <w:sz w:val="20"/>
              </w:rPr>
              <w:t>On the member list screen only the current person's conditions are shown and the others read simply as "another person." This is not concealment but a genuine inability to read them. Another person's data sits behind a key this session does not open.</w:t>
            </w:r>
          </w:p>
          <w:p>
            <w:pPr>
              <w:spacing w:after="80" w:line="276" w:lineRule="auto"/>
              <w:jc w:val="both"/>
            </w:pPr>
            <w:r>
              <w:rPr>
                <w:rFonts w:ascii="Times New Roman" w:hAnsi="Times New Roman" w:eastAsia="바탕"/>
                <w:sz w:val="20"/>
              </w:rPr>
              <w:t>Deleting takes two presses. One press raises a red outline, and a second deletes. No "are you sure?" dialogue is raised, because that sentence is not readable by this app's users. An unreadable confirmation dialogue is not a confirmation but merely one more press, so the procedure itself was made two-stage. The current person and the last remaining person cannot be deleted.</w:t>
            </w:r>
          </w:p>
          <w:p>
            <w:pPr>
              <w:spacing w:after="80" w:line="276" w:lineRule="auto"/>
              <w:jc w:val="both"/>
            </w:pPr>
            <w:r>
              <w:rPr>
                <w:rFonts w:ascii="Times New Roman" w:hAnsi="Times New Roman" w:eastAsia="바탕"/>
                <w:sz w:val="20"/>
              </w:rPr>
              <w:t>What this section covers is several people sharing one device, not several people helping one person. Six of the nine in the nursing and public health segment of §5.7 answered that the patient and the carer should be designed for separately, and Foued Maaoui, researcher at the Pasteur Institute of Tunis, addressed the premise head on.</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Professor Minsun Song of Konyang University put the same thing differently: it should be built so that the patient and the carer can both understand it at once. There are dissenting views. Professor Celia of the University of Pretoria did not feel separate designs would be required, and Professor Namsoo Park of Hyupsung University answered that it depends on the age and condition of the target.</w:t>
            </w:r>
          </w:p>
          <w:p>
            <w:pPr>
              <w:spacing w:after="80" w:line="276" w:lineRule="auto"/>
              <w:jc w:val="both"/>
            </w:pPr>
            <w:r>
              <w:rPr>
                <w:rFonts w:ascii="Times New Roman" w:hAnsi="Times New Roman" w:eastAsia="바탕"/>
                <w:sz w:val="20"/>
              </w:rPr>
              <w:t>This app is designed on the premise that the patient uses it alone. The checking step of §3.8, the per-person thresholds of §2.4 and the member separation of this section all assume one person in front of the screen. Split 6 to 2, this answer aims at that assumption rather than at any one feature. We have not changed it. Building a separate screen for the carer means rebuilding the step §2.1 set out to remove, and which is right can only be learned by asking people. It has been added as an item to confirm in the field evaluation of §5.10.</w:t>
            </w:r>
          </w:p>
          <w:p>
            <w:pPr>
              <w:spacing w:before="180" w:after="40"/>
            </w:pPr>
            <w:r>
              <w:rPr>
                <w:rFonts w:ascii="Times New Roman" w:hAnsi="Times New Roman" w:eastAsia="바탕"/>
                <w:b/>
                <w:sz w:val="23"/>
              </w:rPr>
              <w:t>3.7 Channels other than colour</w:t>
            </w:r>
          </w:p>
          <w:p>
            <w:pPr>
              <w:spacing w:after="80" w:line="276" w:lineRule="auto"/>
              <w:jc w:val="both"/>
            </w:pPr>
            <w:r>
              <w:rPr>
                <w:rFonts w:ascii="Times New Roman" w:hAnsi="Times New Roman" w:eastAsia="바탕"/>
                <w:sz w:val="20"/>
              </w:rPr>
              <w:t>Verdicts are displayed in three colours: green, amber and red. Red-green colour vision deficiency, however, affects about 8% of men and about 0.5% of women of northern European descent, and is estimated at around 300 million people worldwide (Colour Blind Awareness; MedlinePlus Genetics).</w:t>
            </w:r>
          </w:p>
          <w:p>
            <w:pPr>
              <w:spacing w:after="80" w:line="276" w:lineRule="auto"/>
              <w:jc w:val="both"/>
            </w:pPr>
            <w:r>
              <w:rPr>
                <w:rFonts w:ascii="Times New Roman" w:hAnsi="Times New Roman" w:eastAsia="바탕"/>
                <w:sz w:val="20"/>
              </w:rPr>
              <w:t>One thing should be added. This proportion varies by ancestry, reported at 4% to 6.5% among men of Chinese and Japanese descent and lower in sub-Saharan Africa. The risk therefore varies by region and, depending on where the user is, may be smaller than in northern Europe. The reason for not entrusting the verdict to colour alone even so is the asymmetry of the cost rather than the prevalence. Giving only colour to someone who cannot see colour means the verdict is not delivered at all, whereas the cost of also carrying a symbol and a sentence is one line of screen.</w:t>
            </w:r>
          </w:p>
          <w:p>
            <w:pPr>
              <w:spacing w:after="80" w:line="276" w:lineRule="auto"/>
              <w:jc w:val="both"/>
            </w:pPr>
            <w:r>
              <w:rPr>
                <w:rFonts w:ascii="Times New Roman" w:hAnsi="Times New Roman" w:eastAsia="바탕"/>
                <w:sz w:val="20"/>
              </w:rPr>
              <w:t>WCAG 1.4.1 requires that colour not be the sole means of conveying meaning, and it has repeatedly been pointed out that contrast alone is not sufficient. Even with high luminance contrast, hue may not be distinguishable to someone with red-green deficiency (W3C WCAG 2.x).</w:t>
            </w:r>
          </w:p>
          <w:p>
            <w:pPr>
              <w:spacing w:after="80" w:line="276" w:lineRule="auto"/>
              <w:jc w:val="both"/>
            </w:pPr>
            <w:r>
              <w:rPr>
                <w:rFonts w:ascii="Times New Roman" w:hAnsi="Times New Roman" w:eastAsia="바탕"/>
                <w:sz w:val="20"/>
              </w:rPr>
              <w:t>The same verdict therefore goes out through five channels at once.</w:t>
            </w:r>
          </w:p>
          <w:p>
            <w:pPr>
              <w:spacing w:after="80" w:line="276" w:lineRule="auto"/>
              <w:jc w:val="both"/>
            </w:pPr>
            <w:r>
              <w:rPr>
                <w:rFonts w:ascii="Times New Roman" w:hAnsi="Times New Roman" w:eastAsia="바탕"/>
                <w:sz w:val="20"/>
              </w:rPr>
              <w:t>[Table 19] The five channels one verdict travels through</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Channel</w:t>
                  </w:r>
                </w:p>
              </w:tc>
              <w:tc>
                <w:tcPr>
                  <w:tcW w:type="dxa" w:w="2429"/>
                  <w:shd w:val="clear" w:fill="F2F2F2"/>
                </w:tcPr>
                <w:p>
                  <w:r>
                    <w:rPr>
                      <w:rFonts w:ascii="Times New Roman" w:hAnsi="Times New Roman" w:eastAsia="바탕"/>
                      <w:b/>
                      <w:sz w:val="18"/>
                    </w:rPr>
                    <w:t>Safe</w:t>
                  </w:r>
                </w:p>
              </w:tc>
              <w:tc>
                <w:tcPr>
                  <w:tcW w:type="dxa" w:w="2429"/>
                  <w:shd w:val="clear" w:fill="F2F2F2"/>
                </w:tcPr>
                <w:p>
                  <w:r>
                    <w:rPr>
                      <w:rFonts w:ascii="Times New Roman" w:hAnsi="Times New Roman" w:eastAsia="바탕"/>
                      <w:b/>
                      <w:sz w:val="18"/>
                    </w:rPr>
                    <w:t>Caution</w:t>
                  </w:r>
                </w:p>
              </w:tc>
              <w:tc>
                <w:tcPr>
                  <w:tcW w:type="dxa" w:w="2429"/>
                  <w:shd w:val="clear" w:fill="F2F2F2"/>
                </w:tcPr>
                <w:p>
                  <w:r>
                    <w:rPr>
                      <w:rFonts w:ascii="Times New Roman" w:hAnsi="Times New Roman" w:eastAsia="바탕"/>
                      <w:b/>
                      <w:sz w:val="18"/>
                    </w:rPr>
                    <w:t>Avoid</w:t>
                  </w:r>
                </w:p>
              </w:tc>
            </w:tr>
            <w:tr>
              <w:tc>
                <w:tcPr>
                  <w:tcW w:type="dxa" w:w="2429"/>
                </w:tcPr>
                <w:p>
                  <w:r>
                    <w:rPr>
                      <w:rFonts w:ascii="Times New Roman" w:hAnsi="Times New Roman" w:eastAsia="바탕"/>
                      <w:sz w:val="18"/>
                    </w:rPr>
                    <w:t>Colour</w:t>
                  </w:r>
                </w:p>
              </w:tc>
              <w:tc>
                <w:tcPr>
                  <w:tcW w:type="dxa" w:w="2429"/>
                </w:tcPr>
                <w:p>
                  <w:r>
                    <w:rPr>
                      <w:rFonts w:ascii="Times New Roman" w:hAnsi="Times New Roman" w:eastAsia="바탕"/>
                      <w:sz w:val="18"/>
                    </w:rPr>
                    <w:t xml:space="preserve">Green </w:t>
                  </w:r>
                  <w:r>
                    <w:rPr>
                      <w:rFonts w:ascii="Consolas" w:hAnsi="Consolas" w:eastAsia="Consolas"/>
                      <w:sz w:val="17"/>
                    </w:rPr>
                    <w:t>#0E7A38</w:t>
                  </w:r>
                </w:p>
              </w:tc>
              <w:tc>
                <w:tcPr>
                  <w:tcW w:type="dxa" w:w="2429"/>
                </w:tcPr>
                <w:p>
                  <w:r>
                    <w:rPr>
                      <w:rFonts w:ascii="Times New Roman" w:hAnsi="Times New Roman" w:eastAsia="바탕"/>
                      <w:sz w:val="18"/>
                    </w:rPr>
                    <w:t xml:space="preserve">Amber </w:t>
                  </w:r>
                  <w:r>
                    <w:rPr>
                      <w:rFonts w:ascii="Consolas" w:hAnsi="Consolas" w:eastAsia="Consolas"/>
                      <w:sz w:val="17"/>
                    </w:rPr>
                    <w:t>#B45309</w:t>
                  </w:r>
                </w:p>
              </w:tc>
              <w:tc>
                <w:tcPr>
                  <w:tcW w:type="dxa" w:w="2429"/>
                </w:tcPr>
                <w:p>
                  <w:r>
                    <w:rPr>
                      <w:rFonts w:ascii="Times New Roman" w:hAnsi="Times New Roman" w:eastAsia="바탕"/>
                      <w:sz w:val="18"/>
                    </w:rPr>
                    <w:t xml:space="preserve">Red </w:t>
                  </w:r>
                  <w:r>
                    <w:rPr>
                      <w:rFonts w:ascii="Consolas" w:hAnsi="Consolas" w:eastAsia="Consolas"/>
                      <w:sz w:val="17"/>
                    </w:rPr>
                    <w:t>#C81E1E</w:t>
                  </w:r>
                </w:p>
              </w:tc>
            </w:tr>
            <w:tr>
              <w:tc>
                <w:tcPr>
                  <w:tcW w:type="dxa" w:w="2429"/>
                </w:tcPr>
                <w:p>
                  <w:r>
                    <w:rPr>
                      <w:rFonts w:ascii="Times New Roman" w:hAnsi="Times New Roman" w:eastAsia="바탕"/>
                      <w:sz w:val="18"/>
                    </w:rPr>
                    <w:t>Symbol</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Word</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Sentence</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〈name〉"</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Picture</w:t>
                  </w:r>
                </w:p>
              </w:tc>
              <w:tc>
                <w:tcPr>
                  <w:tcW w:type="dxa" w:w="2429"/>
                </w:tcPr>
                <w:p>
                  <w:r>
                    <w:rPr>
                      <w:rFonts w:ascii="Times New Roman" w:hAnsi="Times New Roman" w:eastAsia="바탕"/>
                      <w:sz w:val="18"/>
                    </w:rPr>
                    <w:t>Morpheme as drawn</w:t>
                  </w:r>
                </w:p>
              </w:tc>
              <w:tc>
                <w:tcPr>
                  <w:tcW w:type="dxa" w:w="2429"/>
                </w:tcPr>
                <w:p>
                  <w:r>
                    <w:rPr>
                      <w:rFonts w:ascii="Times New Roman" w:hAnsi="Times New Roman" w:eastAsia="바탕"/>
                      <w:sz w:val="18"/>
                    </w:rPr>
                    <w:t>As drawn plus a warning morpheme</w:t>
                  </w:r>
                </w:p>
              </w:tc>
              <w:tc>
                <w:tcPr>
                  <w:tcW w:type="dxa" w:w="2429"/>
                </w:tcPr>
                <w:p>
                  <w:r>
                    <w:rPr>
                      <w:rFonts w:ascii="Times New Roman" w:hAnsi="Times New Roman" w:eastAsia="바탕"/>
                      <w:sz w:val="18"/>
                    </w:rPr>
                    <w:t>Morpheme wrapped in the negation operator</w:t>
                  </w:r>
                </w:p>
              </w:tc>
            </w:tr>
          </w:tbl>
          <w:p/>
          <w:p>
            <w:pPr>
              <w:spacing w:after="120"/>
            </w:pPr>
          </w:p>
          <w:p>
            <w:pPr>
              <w:spacing w:after="80" w:line="276" w:lineRule="auto"/>
              <w:jc w:val="both"/>
            </w:pPr>
            <w:r>
              <w:rPr>
                <w:rFonts w:ascii="Times New Roman" w:hAnsi="Times New Roman" w:eastAsia="바탕"/>
                <w:sz w:val="20"/>
              </w:rPr>
              <w:t xml:space="preserve">The last row is SIGIL's part. An avoid verdict does not paint the picture red but wraps the picture itself in </w:t>
            </w:r>
            <w:r>
              <w:rPr>
                <w:rFonts w:ascii="Consolas" w:hAnsi="Consolas" w:eastAsia="Consolas"/>
                <w:sz w:val="19"/>
              </w:rPr>
              <w:t>\no{...}</w:t>
            </w:r>
            <w:r>
              <w:rPr>
                <w:rFonts w:ascii="Times New Roman" w:hAnsi="Times New Roman" w:eastAsia="바탕"/>
                <w:sz w:val="20"/>
              </w:rPr>
              <w:t xml:space="preserve"> and draws a slash across it (§2.2). Someone who sees no colour at all still sees the slash.</w:t>
            </w:r>
          </w:p>
          <w:p>
            <w:pPr>
              <w:spacing w:after="80" w:line="276" w:lineRule="auto"/>
              <w:jc w:val="both"/>
            </w:pPr>
            <w:r>
              <w:rPr>
                <w:rFonts w:ascii="Times New Roman" w:hAnsi="Times New Roman" w:eastAsia="바탕"/>
                <w:sz w:val="20"/>
              </w:rPr>
              <w:t>The same principle repeats in the nutrient bars. One fact is expressed five times over: as bar length, as colour, as a number, as a per-nutrient picture (🔥 🍬 🧂 🧈 🫒 💪 🌾 🍚), and as a spoken sentence. The speech does not read the value alone but appends a judging word, as in "That is high." Hearing a number and deciding for oneself whether it is large requires knowing the reference, and knowing the reference is precisely the ability this app has decided not to assume.</w:t>
            </w:r>
          </w:p>
          <w:p>
            <w:pPr>
              <w:spacing w:after="80" w:line="276" w:lineRule="auto"/>
              <w:jc w:val="both"/>
            </w:pPr>
            <w:r>
              <w:rPr>
                <w:rFonts w:ascii="Times New Roman" w:hAnsi="Times New Roman" w:eastAsia="바탕"/>
                <w:sz w:val="20"/>
              </w:rPr>
              <w:t>The line currently being read gains an outline. Where the audio has reached has to be visible as well as audible, so that someone who lost the thread can press that spot again.</w:t>
            </w:r>
          </w:p>
          <w:p>
            <w:pPr>
              <w:spacing w:before="120" w:after="20"/>
            </w:pPr>
            <w:r>
              <w:rPr>
                <w:rFonts w:ascii="Times New Roman" w:hAnsi="Times New Roman" w:eastAsia="바탕"/>
                <w:b/>
                <w:sz w:val="21"/>
              </w:rPr>
              <w:t>3.7.1 Whether the colours themselves can be read was measured separately</w:t>
            </w:r>
          </w:p>
          <w:p>
            <w:pPr>
              <w:spacing w:after="80" w:line="276" w:lineRule="auto"/>
              <w:jc w:val="both"/>
            </w:pPr>
            <w:r>
              <w:rPr>
                <w:rFonts w:ascii="Times New Roman" w:hAnsi="Times New Roman" w:eastAsia="바탕"/>
                <w:sz w:val="20"/>
              </w:rPr>
              <w:t>If everything so far concerns the layers that substitute for colour, whether the colour itself can be read is a separate question. In §5.7, E. A. Draffan, retired speech and language therapist and visiting accessibility researcher at Global Symbols and the University of Southampton, wrote that the WCAG 2.2 mobile criteria should be checked. The reason given was that AAC users frequently have visual difficulties as well and operate by scanning, which makes an audio button hard to reach. Working through the criteria, two items failed.</w:t>
            </w:r>
          </w:p>
          <w:p>
            <w:pPr>
              <w:spacing w:after="80" w:line="276" w:lineRule="auto"/>
              <w:jc w:val="both"/>
            </w:pPr>
            <w:r>
              <w:rPr>
                <w:rFonts w:ascii="Times New Roman" w:hAnsi="Times New Roman" w:eastAsia="바탕"/>
                <w:sz w:val="20"/>
              </w:rPr>
              <w:t>The first is contrast. All five verdict colours fell short. SC 1.4.3 of WCAG 2.2 requires 4.5:1 for body text, and these colours are not decoration but the colour of the verdict sentence itself. It is not that one of the five channels in Table 19 dims but that the sentence does not read.</w:t>
            </w:r>
          </w:p>
          <w:p>
            <w:pPr>
              <w:spacing w:after="80" w:line="276" w:lineRule="auto"/>
              <w:jc w:val="both"/>
            </w:pPr>
            <w:r>
              <w:rPr>
                <w:rFonts w:ascii="Times New Roman" w:hAnsi="Times New Roman" w:eastAsia="바탕"/>
                <w:sz w:val="20"/>
              </w:rPr>
              <w:t xml:space="preserve">[Table 20] Contrast of the verdict colours (on the off-white background </w:t>
            </w:r>
            <w:r>
              <w:rPr>
                <w:rFonts w:ascii="Consolas" w:hAnsi="Consolas" w:eastAsia="Consolas"/>
                <w:sz w:val="19"/>
              </w:rPr>
              <w:t>#F4F3EF</w:t>
            </w:r>
            <w:r>
              <w:rPr>
                <w:rFonts w:ascii="Times New Roman" w:hAnsi="Times New Roman" w:eastAsia="바탕"/>
                <w:sz w:val="20"/>
              </w:rPr>
              <w:t>, criterion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Use</w:t>
                  </w:r>
                </w:p>
              </w:tc>
              <w:tc>
                <w:tcPr>
                  <w:tcW w:type="dxa" w:w="1943"/>
                  <w:shd w:val="clear" w:fill="F2F2F2"/>
                </w:tcPr>
                <w:p>
                  <w:r>
                    <w:rPr>
                      <w:rFonts w:ascii="Times New Roman" w:hAnsi="Times New Roman" w:eastAsia="바탕"/>
                      <w:b/>
                      <w:sz w:val="18"/>
                    </w:rPr>
                    <w:t>Before</w:t>
                  </w:r>
                </w:p>
              </w:tc>
              <w:tc>
                <w:tcPr>
                  <w:tcW w:type="dxa" w:w="1943"/>
                  <w:shd w:val="clear" w:fill="F2F2F2"/>
                </w:tcPr>
                <w:p>
                  <w:r>
                    <w:rPr>
                      <w:rFonts w:ascii="Times New Roman" w:hAnsi="Times New Roman" w:eastAsia="바탕"/>
                      <w:b/>
                      <w:sz w:val="18"/>
                    </w:rPr>
                    <w:t>Ratio</w:t>
                  </w:r>
                </w:p>
              </w:tc>
              <w:tc>
                <w:tcPr>
                  <w:tcW w:type="dxa" w:w="1943"/>
                  <w:shd w:val="clear" w:fill="F2F2F2"/>
                </w:tcPr>
                <w:p>
                  <w:r>
                    <w:rPr>
                      <w:rFonts w:ascii="Times New Roman" w:hAnsi="Times New Roman" w:eastAsia="바탕"/>
                      <w:b/>
                      <w:sz w:val="18"/>
                    </w:rPr>
                    <w:t>Now</w:t>
                  </w:r>
                </w:p>
              </w:tc>
              <w:tc>
                <w:tcPr>
                  <w:tcW w:type="dxa" w:w="1943"/>
                  <w:shd w:val="clear" w:fill="F2F2F2"/>
                </w:tcPr>
                <w:p>
                  <w:r>
                    <w:rPr>
                      <w:rFonts w:ascii="Times New Roman" w:hAnsi="Times New Roman" w:eastAsia="바탕"/>
                      <w:b/>
                      <w:sz w:val="18"/>
                    </w:rPr>
                    <w:t>Ratio</w:t>
                  </w:r>
                </w:p>
              </w:tc>
            </w:tr>
            <w:tr>
              <w:tc>
                <w:tcPr>
                  <w:tcW w:type="dxa" w:w="1943"/>
                </w:tcPr>
                <w:p>
                  <w:r>
                    <w:rPr>
                      <w:rFonts w:ascii="Times New Roman" w:hAnsi="Times New Roman" w:eastAsia="바탕"/>
                      <w:sz w:val="18"/>
                    </w:rPr>
                    <w:t>Safe</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Caution</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Avoid</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Accent</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Secondary text</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All five were darkened by one step while the hue was kept. Green, amber and red have to be recognisable as such at a glance for the channels to remain distinct. The present values exceed 4.5:1 in all four combinations: on a white card, on the off-white background, on their own tinted band, and as white text on the colour itself. The lowest of the eighteen combinations is the caution colour on the off-white background at 4.52, a margin of 0.02 over the criterion. Lightening that colour by even one step would put it under, so the values in Table 20 are not a matter of taste but values taken at the boundary.</w:t>
            </w:r>
          </w:p>
          <w:p>
            <w:pPr>
              <w:spacing w:after="80" w:line="276" w:lineRule="auto"/>
              <w:jc w:val="both"/>
            </w:pPr>
            <w:r>
              <w:rPr>
                <w:rFonts w:ascii="Times New Roman" w:hAnsi="Times New Roman" w:eastAsia="바탕"/>
                <w:sz w:val="20"/>
              </w:rPr>
              <w:t>These are values the eye cannot hold, so they were locked with a test. The earlier values looked perfectly fine on screen, and that is in fact how they survived this long. The test measures more than contrast: it also checks that the three colours remain distinct in hue. Measuring contrast alone can be satisfied by collapsing everything to dark grey, which is the most common way of passing a test while losing what the test was for.</w:t>
            </w:r>
          </w:p>
          <w:p>
            <w:pPr>
              <w:spacing w:after="80" w:line="276" w:lineRule="auto"/>
              <w:jc w:val="both"/>
            </w:pPr>
            <w:r>
              <w:rPr>
                <w:rFonts w:ascii="Times New Roman" w:hAnsi="Times New Roman" w:eastAsia="바탕"/>
                <w:sz w:val="20"/>
              </w:rPr>
              <w:t>The second is target size. SC 2.5.8 requires a minimum of 24 pixels. The large controls were already 44 pixels, but secondary controls such as the read-again row and the row back to settings were between 16 and 20. A thin row to scan and tap is particularly bad in this app, because tapping that row is how someone who cannot read reads the screen. A 24-pixel floor was applied.</w:t>
            </w:r>
          </w:p>
          <w:p>
            <w:pPr>
              <w:spacing w:after="80" w:line="276" w:lineRule="auto"/>
              <w:jc w:val="both"/>
            </w:pPr>
            <w:r>
              <w:rPr>
                <w:rFonts w:ascii="Times New Roman" w:hAnsi="Times New Roman" w:eastAsia="바탕"/>
                <w:sz w:val="20"/>
              </w:rPr>
              <w:t>These four were measured again on the deployment. Nine screens (</w:t>
            </w:r>
            <w:r>
              <w:rPr>
                <w:rFonts w:ascii="Consolas" w:hAnsi="Consolas" w:eastAsia="Consolas"/>
                <w:sz w:val="19"/>
              </w:rPr>
              <w:t>/home</w:t>
            </w:r>
            <w:r>
              <w:rPr>
                <w:rFonts w:ascii="Times New Roman" w:hAnsi="Times New Roman" w:eastAsia="바탕"/>
                <w:sz w:val="20"/>
              </w:rPr>
              <w:t xml:space="preserve">, </w:t>
            </w:r>
            <w:r>
              <w:rPr>
                <w:rFonts w:ascii="Consolas" w:hAnsi="Consolas" w:eastAsia="Consolas"/>
                <w:sz w:val="19"/>
              </w:rPr>
              <w:t>/scan</w:t>
            </w:r>
            <w:r>
              <w:rPr>
                <w:rFonts w:ascii="Times New Roman" w:hAnsi="Times New Roman" w:eastAsia="바탕"/>
                <w:sz w:val="20"/>
              </w:rPr>
              <w:t xml:space="preserve">,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/settings</w:t>
            </w:r>
            <w:r>
              <w:rPr>
                <w:rFonts w:ascii="Times New Roman" w:hAnsi="Times New Roman" w:eastAsia="바탕"/>
                <w:sz w:val="20"/>
              </w:rPr>
              <w:t xml:space="preserve">, </w:t>
            </w:r>
            <w:r>
              <w:rPr>
                <w:rFonts w:ascii="Consolas" w:hAnsi="Consolas" w:eastAsia="Consolas"/>
                <w:sz w:val="19"/>
              </w:rPr>
              <w:t>/profile</w:t>
            </w:r>
            <w:r>
              <w:rPr>
                <w:rFonts w:ascii="Times New Roman" w:hAnsi="Times New Roman" w:eastAsia="바탕"/>
                <w:sz w:val="20"/>
              </w:rPr>
              <w:t xml:space="preserve">, </w:t>
            </w:r>
            <w:r>
              <w:rPr>
                <w:rFonts w:ascii="Consolas" w:hAnsi="Consolas" w:eastAsia="Consolas"/>
                <w:sz w:val="19"/>
              </w:rPr>
              <w:t>/people</w:t>
            </w:r>
            <w:r>
              <w:rPr>
                <w:rFonts w:ascii="Times New Roman" w:hAnsi="Times New Roman" w:eastAsia="바탕"/>
                <w:sz w:val="20"/>
              </w:rPr>
              <w:t xml:space="preserve">, </w:t>
            </w:r>
            <w:r>
              <w:rPr>
                <w:rFonts w:ascii="Consolas" w:hAnsi="Consolas" w:eastAsia="Consolas"/>
                <w:sz w:val="19"/>
              </w:rPr>
              <w:t>/device</w:t>
            </w:r>
            <w:r>
              <w:rPr>
                <w:rFonts w:ascii="Times New Roman" w:hAnsi="Times New Roman" w:eastAsia="바탕"/>
                <w:sz w:val="20"/>
              </w:rPr>
              <w:t xml:space="preserve">, </w:t>
            </w:r>
            <w:r>
              <w:rPr>
                <w:rFonts w:ascii="Consolas" w:hAnsi="Consolas" w:eastAsia="Consolas"/>
                <w:sz w:val="19"/>
              </w:rPr>
              <w:t>/onboarding</w:t>
            </w:r>
            <w:r>
              <w:rPr>
                <w:rFonts w:ascii="Times New Roman" w:hAnsi="Times New Roman" w:eastAsia="바탕"/>
                <w:sz w:val="20"/>
              </w:rPr>
              <w:t xml:space="preserve">, </w:t>
            </w:r>
            <w:r>
              <w:rPr>
                <w:rFonts w:ascii="Consolas" w:hAnsi="Consolas" w:eastAsia="Consolas"/>
                <w:sz w:val="19"/>
              </w:rPr>
              <w:t>/dose</w:t>
            </w:r>
            <w:r>
              <w:rPr>
                <w:rFonts w:ascii="Times New Roman" w:hAnsi="Times New Roman" w:eastAsia="바탕"/>
                <w:sz w:val="20"/>
              </w:rPr>
              <w:t>) were opened at 375 pixels wide and 143 controls counted. No unnamed controls, no horizontal scrolling, and one control below 24 pixels.</w:t>
            </w:r>
          </w:p>
          <w:p>
            <w:pPr>
              <w:spacing w:after="80" w:line="276" w:lineRule="auto"/>
              <w:jc w:val="both"/>
            </w:pPr>
            <w:r>
              <w:rPr>
                <w:rFonts w:ascii="Times New Roman" w:hAnsi="Times New Roman" w:eastAsia="바탕"/>
                <w:sz w:val="20"/>
              </w:rPr>
              <w:t>That one should be set down. The close button on the capture screen (</w:t>
            </w:r>
            <w:r>
              <w:rPr>
                <w:rFonts w:ascii="Consolas" w:hAnsi="Consolas" w:eastAsia="Consolas"/>
                <w:sz w:val="19"/>
              </w:rPr>
              <w:t>×</w:t>
            </w:r>
            <w:r>
              <w:rPr>
                <w:rFonts w:ascii="Times New Roman" w:hAnsi="Times New Roman" w:eastAsia="바탕"/>
                <w:sz w:val="20"/>
              </w:rPr>
              <w:t>) is 15×24. SC 2.5.8 allows a spacing exception: an undersized target conforms if a 24-pixel-diameter circle centred on it does not touch the circle of another target. The nearest other target to this button is 601 pixels away, so it conforms. It is recorded even so, because the paragraph above says "a minimum of 24 pixels was laid down" and that is not literally true. It was laid down, and one place remains an exception.</w:t>
            </w:r>
          </w:p>
          <w:p>
            <w:pPr>
              <w:spacing w:after="80" w:line="276" w:lineRule="auto"/>
              <w:jc w:val="both"/>
            </w:pPr>
            <w:r>
              <w:rPr>
                <w:rFonts w:ascii="Times New Roman" w:hAnsi="Times New Roman" w:eastAsia="바탕"/>
                <w:sz w:val="20"/>
              </w:rPr>
              <w:t xml:space="preserve">This measurement is kept as </w:t>
            </w:r>
            <w:r>
              <w:rPr>
                <w:rFonts w:ascii="Consolas" w:hAnsi="Consolas" w:eastAsia="Consolas"/>
                <w:sz w:val="19"/>
              </w:rPr>
              <w:t>tools/check_a11y.mjs</w:t>
            </w:r>
            <w:r>
              <w:rPr>
                <w:rFonts w:ascii="Times New Roman" w:hAnsi="Times New Roman" w:eastAsia="바탕"/>
                <w:sz w:val="20"/>
              </w:rPr>
              <w:t>, to be rerun when screens are added or controls change.</w:t>
            </w:r>
          </w:p>
          <w:p>
            <w:pPr>
              <w:spacing w:after="80" w:line="276" w:lineRule="auto"/>
              <w:jc w:val="both"/>
            </w:pPr>
            <w:r>
              <w:rPr>
                <w:rFonts w:ascii="Times New Roman" w:hAnsi="Times New Roman" w:eastAsia="바탕"/>
                <w:sz w:val="20"/>
              </w:rPr>
              <w:t>What was already correct should be recorded too. The path by which a scanning device reaches the audio (SC 2.1.1, keyboard operation), the absence of unnamed controls (SC 4.1.2), no horizontal scrolling at 375 pixels (SC 1.4.10) and no obscured focus (SC 2.4.11) were all confirmed to hold. These four are listed not to claim credit for passing but because stating how far we looked is what separates "passed" from "not checked".</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Checking that it was understood</w:t>
            </w:r>
          </w:p>
          <w:p>
            <w:pPr>
              <w:spacing w:after="80" w:line="276" w:lineRule="auto"/>
              <w:jc w:val="both"/>
            </w:pPr>
            <w:r>
              <w:rPr>
                <w:rFonts w:ascii="Times New Roman" w:hAnsi="Times New Roman" w:eastAsia="바탕"/>
                <w:sz w:val="20"/>
              </w:rPr>
              <w:t>A verdict screen having appeared does not mean the delivery is finished. This section exists because of one sentence in the survey, so it is carried over rather than summarised. Answering "could a patient who cannot read take their medicine correctly, alone, with only these screens", Foued Maaoui, Researcher at the Pasteur Institute of Tunis, wrote:</w:t>
            </w:r>
          </w:p>
          <w:p>
            <w:pPr>
              <w:spacing w:after="40" w:line="276" w:lineRule="auto"/>
              <w:ind w:left="403"/>
            </w:pPr>
            <w:r>
              <w:rPr>
                <w:rFonts w:ascii="Times New Roman" w:hAnsi="Times New Roman" w:eastAsia="바탕"/>
                <w:i/>
                <w:color w:val="606068"/>
                <w:sz w:val="19"/>
              </w:rPr>
              <w:t>"The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However clear the screen, without a procedure for confirming that the person who saw it understood it there is no returning signal. The checking step in this section was built on receiving that answer, and it is the one case where the survey changed the design by adding a whole screen.</w:t>
            </w:r>
          </w:p>
          <w:p>
            <w:pPr>
              <w:spacing w:after="80" w:line="276" w:lineRule="auto"/>
              <w:jc w:val="both"/>
            </w:pPr>
            <w:r>
              <w:rPr>
                <w:rFonts w:ascii="Times New Roman" w:hAnsi="Times New Roman" w:eastAsia="바탕"/>
                <w:sz w:val="20"/>
              </w:rPr>
              <w:t>Teach-back as used in clinical practice runs like this. When the explanation is finished, the clinician asks the patient to say how they will take the medicine at home, and re-explains whatever is missing from the answer. The premise is that nodding is not evidence of understanding. The systematic review cited in §5.7 found positive results in 19 of 20 studies of this procedure.</w:t>
            </w:r>
          </w:p>
          <w:p>
            <w:pPr>
              <w:spacing w:after="80" w:line="276" w:lineRule="auto"/>
              <w:jc w:val="both"/>
            </w:pPr>
            <w:r>
              <w:rPr>
                <w:rFonts w:ascii="Times New Roman" w:hAnsi="Times New Roman" w:eastAsia="바탕"/>
                <w:sz w:val="20"/>
              </w:rPr>
              <w:t>The procedure cannot be carried across to our users as it stands. They cannot read, and the microphone is closed off entirely (§4.6). Speaking back would require speech recognition, and that is a permission we chose not to open. So instead of speaking back, the user points back with pictures. The question goes out as sound and the answer is a picture that gets tapped. The pictures to tap are not drawn afresh; they are the morphemes of §2.2.</w:t>
            </w:r>
          </w:p>
          <w:p>
            <w:pPr>
              <w:spacing w:after="80" w:line="276" w:lineRule="auto"/>
              <w:jc w:val="both"/>
            </w:pPr>
            <w:r>
              <w:rPr>
                <w:rFonts w:ascii="Times New Roman" w:hAnsi="Times New Roman" w:eastAsia="바탕"/>
                <w:sz w:val="20"/>
              </w:rPr>
              <w:t xml:space="preserve">This is where the reason for using morphemes rather than a line of DSL as the answer set becomes visible. </w:t>
            </w:r>
            <w:r>
              <w:rPr>
                <w:rFonts w:ascii="Consolas" w:hAnsi="Consolas" w:eastAsia="Consolas"/>
                <w:sz w:val="19"/>
              </w:rPr>
              <w:t>\qty_two</w:t>
            </w:r>
            <w:r>
              <w:rPr>
                <w:rFonts w:ascii="Times New Roman" w:hAnsi="Times New Roman" w:eastAsia="바탕"/>
                <w:sz w:val="20"/>
              </w:rPr>
              <w:t xml:space="preserve"> is "two" without saying two of what. It is the same reason the grammar of §2.2 forbids a modifier standing alone, and what is needed in this position is not a sentence but a single picture to point at.</w:t>
            </w:r>
          </w:p>
          <w:p>
            <w:pPr>
              <w:spacing w:after="80" w:line="276" w:lineRule="auto"/>
              <w:jc w:val="both"/>
            </w:pPr>
            <w:r>
              <w:rPr>
                <w:rFonts w:ascii="Times New Roman" w:hAnsi="Times New Roman" w:eastAsia="바탕"/>
                <w:sz w:val="20"/>
              </w:rPr>
              <w:t>[Table 21] What the check asks (it asks only what the prescription said)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Order</w:t>
                  </w:r>
                </w:p>
              </w:tc>
              <w:tc>
                <w:tcPr>
                  <w:tcW w:type="dxa" w:w="1943"/>
                  <w:shd w:val="clear" w:fill="F2F2F2"/>
                </w:tcPr>
                <w:p>
                  <w:r>
                    <w:rPr>
                      <w:rFonts w:ascii="Times New Roman" w:hAnsi="Times New Roman" w:eastAsia="바탕"/>
                      <w:b/>
                      <w:sz w:val="18"/>
                    </w:rPr>
                    <w:t>What is asked</w:t>
                  </w:r>
                </w:p>
              </w:tc>
              <w:tc>
                <w:tcPr>
                  <w:tcW w:type="dxa" w:w="1943"/>
                  <w:shd w:val="clear" w:fill="F2F2F2"/>
                </w:tcPr>
                <w:p>
                  <w:r>
                    <w:rPr>
                      <w:rFonts w:ascii="Times New Roman" w:hAnsi="Times New Roman" w:eastAsia="바탕"/>
                      <w:b/>
                      <w:sz w:val="18"/>
                    </w:rPr>
                    <w:t>Spoken question</w:t>
                  </w:r>
                </w:p>
              </w:tc>
              <w:tc>
                <w:tcPr>
                  <w:tcW w:type="dxa" w:w="1943"/>
                  <w:shd w:val="clear" w:fill="F2F2F2"/>
                </w:tcPr>
                <w:p>
                  <w:r>
                    <w:rPr>
                      <w:rFonts w:ascii="Times New Roman" w:hAnsi="Times New Roman" w:eastAsia="바탕"/>
                      <w:b/>
                      <w:sz w:val="18"/>
                    </w:rPr>
                    <w:t>Answer set</w:t>
                  </w:r>
                </w:p>
              </w:tc>
              <w:tc>
                <w:tcPr>
                  <w:tcW w:type="dxa" w:w="1943"/>
                  <w:shd w:val="clear" w:fill="F2F2F2"/>
                </w:tcPr>
                <w:p>
                  <w:r>
                    <w:rPr>
                      <w:rFonts w:ascii="Times New Roman" w:hAnsi="Times New Roman" w:eastAsia="바탕"/>
                      <w:b/>
                      <w:sz w:val="18"/>
                    </w:rPr>
                    <w:t>When it is not asked</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How many at a time</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three count morphemes</w:t>
                  </w:r>
                </w:p>
              </w:tc>
              <w:tc>
                <w:tcPr>
                  <w:tcW w:type="dxa" w:w="1943"/>
                </w:tcPr>
                <w:p>
                  <w:r>
                    <w:rPr>
                      <w:rFonts w:ascii="Times New Roman" w:hAnsi="Times New Roman" w:eastAsia="바탕"/>
                      <w:sz w:val="18"/>
                    </w:rPr>
                    <w:t>when the prescription carries no per-intake count</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When</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three time morphemes</w:t>
                  </w:r>
                </w:p>
              </w:tc>
              <w:tc>
                <w:tcPr>
                  <w:tcW w:type="dxa" w:w="1943"/>
                </w:tcPr>
                <w:p>
                  <w:r>
                    <w:rPr>
                      <w:rFonts w:ascii="Times New Roman" w:hAnsi="Times New Roman" w:eastAsia="바탕"/>
                      <w:sz w:val="18"/>
                    </w:rPr>
                    <w:t>when the times absent from the prescription cannot fill two slots</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With food or not</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bowl · empty bowl</w:t>
                  </w:r>
                </w:p>
              </w:tc>
              <w:tc>
                <w:tcPr>
                  <w:tcW w:type="dxa" w:w="1943"/>
                </w:tcPr>
                <w:p>
                  <w:r>
                    <w:rPr>
                      <w:rFonts w:ascii="Times New Roman" w:hAnsi="Times New Roman" w:eastAsia="바탕"/>
                      <w:sz w:val="18"/>
                    </w:rPr>
                    <w:t>when the prescription does not state a meal context</w:t>
                  </w:r>
                </w:p>
              </w:tc>
            </w:tr>
          </w:tbl>
          <w:p/>
          <w:p>
            <w:pPr>
              <w:spacing w:after="120"/>
            </w:pPr>
          </w:p>
          <w:p>
            <w:pPr>
              <w:spacing w:after="80" w:line="276" w:lineRule="auto"/>
              <w:jc w:val="both"/>
            </w:pPr>
            <w:r>
              <w:rPr>
                <w:rFonts w:ascii="Times New Roman" w:hAnsi="Times New Roman" w:eastAsia="바탕"/>
                <w:sz w:val="20"/>
              </w:rPr>
              <w:t>Count was put first. Of the 155 dispensing errors found by pharmacists in Table 4, 28.4% were dose errors, and Professor Atif Usman's remark in §5.7 that the dose per intake and the times per day are not distinguished points at the same place. At most two of the three are asked rather than all three. A check that drags on becomes another step in itself, and steps are what this app set out to remove.</w:t>
            </w:r>
          </w:p>
          <w:p>
            <w:pPr>
              <w:spacing w:after="80" w:line="276" w:lineRule="auto"/>
              <w:jc w:val="both"/>
            </w:pPr>
            <w:r>
              <w:rPr>
                <w:rFonts w:ascii="Times New Roman" w:hAnsi="Times New Roman" w:eastAsia="바탕"/>
                <w:sz w:val="20"/>
              </w:rPr>
              <w:t>There are three things we did not concede in the design.</w:t>
            </w:r>
          </w:p>
          <w:p>
            <w:pPr>
              <w:spacing w:after="80" w:line="276" w:lineRule="auto"/>
              <w:jc w:val="both"/>
            </w:pPr>
            <w:r>
              <w:rPr>
                <w:rFonts w:ascii="Times New Roman" w:hAnsi="Times New Roman" w:eastAsia="바탕"/>
                <w:sz w:val="20"/>
              </w:rPr>
              <w:t>First, it does not block. A wrong answer moves on, the check can be skipped, and the medicine information stays on the screen below throughout. An app that withholds information until a check is passed is an app that stops people taking their medicine. This is a check, not a test.</w:t>
            </w:r>
          </w:p>
          <w:p>
            <w:pPr>
              <w:spacing w:after="80" w:line="276" w:lineRule="auto"/>
              <w:jc w:val="both"/>
            </w:pPr>
            <w:r>
              <w:rPr>
                <w:rFonts w:ascii="Times New Roman" w:hAnsi="Times New Roman" w:eastAsia="바탕"/>
                <w:sz w:val="20"/>
              </w:rPr>
              <w:t>Second, it asks only what the prescription said. Asking about something not written there would require us to invent an answer, and we would then be teaching an invented answer as correct. Asking about a meal context only when the prescription mentions one is that rule.</w:t>
            </w:r>
          </w:p>
          <w:p>
            <w:pPr>
              <w:spacing w:after="80" w:line="276" w:lineRule="auto"/>
              <w:jc w:val="both"/>
            </w:pPr>
            <w:r>
              <w:rPr>
                <w:rFonts w:ascii="Times New Roman" w:hAnsi="Times New Roman" w:eastAsia="바탕"/>
                <w:sz w:val="20"/>
              </w:rPr>
              <w:t xml:space="preserve">Third, when the answer is wrong it says the right thing again on the spot. The correct picture is lit and read aloud once more, using </w:t>
            </w:r>
            <w:r>
              <w:rPr>
                <w:rFonts w:ascii="Times New Roman" w:hAnsi="Times New Roman" w:eastAsia="바탕"/>
                <w:b/>
                <w:sz w:val="20"/>
              </w:rPr>
              <w:t>the same sentence</w:t>
            </w:r>
            <w:r>
              <w:rPr>
                <w:rFonts w:ascii="Times New Roman" w:hAnsi="Times New Roman" w:eastAsia="바탕"/>
                <w:sz w:val="20"/>
              </w:rPr>
              <w:t xml:space="preserve"> as when the answer was right. Whichever way the user pointed, the last thing they hear has to be the correct instruction. The point of the check is not a score but a second chance.</w:t>
            </w:r>
          </w:p>
          <w:p>
            <w:pPr>
              <w:spacing w:after="80" w:line="276" w:lineRule="auto"/>
              <w:jc w:val="both"/>
            </w:pPr>
            <w:r>
              <w:rPr>
                <w:rFonts w:ascii="Times New Roman" w:hAnsi="Times New Roman" w:eastAsia="바탕"/>
                <w:sz w:val="20"/>
              </w:rPr>
              <w:t>What we decided not to ask should be recorded too. The distractors for the time question have to be times absent from that prescription. Offering an actual dosing time as a distractor would mean telling someone who pointed correctly that they were wrong. For a medicine taken three times a day only one time remains, so the answer set would be two, and a fifty-fifty guess is not a check. It is a question that fails to separate those who understood from those who did not while leaving behind the fact that a question was asked, so it is not asked at all. A medicine taken three times a day already has count and meal context worth asking about.</w:t>
            </w:r>
          </w:p>
          <w:p>
            <w:pPr>
              <w:spacing w:after="80" w:line="276" w:lineRule="auto"/>
              <w:jc w:val="both"/>
            </w:pPr>
            <w:r>
              <w:rPr>
                <w:rFonts w:ascii="Times New Roman" w:hAnsi="Times New Roman" w:eastAsia="바탕"/>
                <w:sz w:val="20"/>
              </w:rPr>
              <w:t>The answer order is shuffled, but always the same way. If the answer moves around each time it is seen, someone who remembered the position they tapped the first time is lost the second. What is needed here is not randomness but only that the correct answer is not always in the first slot, so the shuffle is derived from the item identifier.</w:t>
            </w:r>
          </w:p>
          <w:p>
            <w:pPr>
              <w:spacing w:after="80" w:line="276" w:lineRule="auto"/>
              <w:jc w:val="both"/>
            </w:pPr>
            <w:r>
              <w:rPr>
                <w:rFonts w:ascii="Times New Roman" w:hAnsi="Times New Roman" w:eastAsia="바탕"/>
                <w:sz w:val="20"/>
              </w:rPr>
              <w:t>This step was built after the survey in §5.7. It has not been verified with people, and whether pointing at pictures produces the same confirming effect as speaking back is an item for the field evaluation in §5.10.</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Overview of the stack</w:t>
            </w:r>
          </w:p>
          <w:p>
            <w:pPr>
              <w:spacing w:after="80" w:line="276" w:lineRule="auto"/>
              <w:jc w:val="both"/>
            </w:pPr>
            <w:r>
              <w:rPr>
                <w:rFonts w:ascii="Times New Roman" w:hAnsi="Times New Roman" w:eastAsia="바탕"/>
                <w:sz w:val="20"/>
              </w:rPr>
              <w:t>This section first sets out what was built with which tools, and the sections that follow take up one by one the points where a judgement had to be made. The content of this section is why those choices were made rather than the stack itself.</w:t>
            </w:r>
          </w:p>
          <w:p>
            <w:pPr>
              <w:spacing w:after="80" w:line="276" w:lineRule="auto"/>
              <w:jc w:val="both"/>
            </w:pPr>
            <w:r>
              <w:rPr>
                <w:rFonts w:ascii="Times New Roman" w:hAnsi="Times New Roman" w:eastAsia="바탕"/>
                <w:sz w:val="20"/>
              </w:rPr>
              <w:t>[Table 22] Technical stack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Layer</w:t>
                  </w:r>
                </w:p>
              </w:tc>
              <w:tc>
                <w:tcPr>
                  <w:tcW w:type="dxa" w:w="3238"/>
                  <w:shd w:val="clear" w:fill="F2F2F2"/>
                </w:tcPr>
                <w:p>
                  <w:r>
                    <w:rPr>
                      <w:rFonts w:ascii="Times New Roman" w:hAnsi="Times New Roman" w:eastAsia="바탕"/>
                      <w:b/>
                      <w:sz w:val="18"/>
                    </w:rPr>
                    <w:t>Technology</w:t>
                  </w:r>
                </w:p>
              </w:tc>
              <w:tc>
                <w:tcPr>
                  <w:tcW w:type="dxa" w:w="3238"/>
                  <w:shd w:val="clear" w:fill="F2F2F2"/>
                </w:tcPr>
                <w:p>
                  <w:r>
                    <w:rPr>
                      <w:rFonts w:ascii="Times New Roman" w:hAnsi="Times New Roman" w:eastAsia="바탕"/>
                      <w:b/>
                      <w:sz w:val="18"/>
                    </w:rPr>
                    <w:t>Note</w:t>
                  </w:r>
                </w:p>
              </w:tc>
            </w:tr>
            <w:tr>
              <w:tc>
                <w:tcPr>
                  <w:tcW w:type="dxa" w:w="3238"/>
                </w:tcPr>
                <w:p>
                  <w:r>
                    <w:rPr>
                      <w:rFonts w:ascii="Times New Roman" w:hAnsi="Times New Roman" w:eastAsia="바탕"/>
                      <w:sz w:val="18"/>
                    </w:rPr>
                    <w:t>Web app</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Static build maintained</w:t>
                  </w:r>
                </w:p>
              </w:tc>
            </w:tr>
            <w:tr>
              <w:tc>
                <w:tcPr>
                  <w:tcW w:type="dxa" w:w="3238"/>
                </w:tcPr>
                <w:p>
                  <w:r>
                    <w:rPr>
                      <w:rFonts w:ascii="Times New Roman" w:hAnsi="Times New Roman" w:eastAsia="바탕"/>
                      <w:sz w:val="18"/>
                    </w:rPr>
                    <w:t>Pictogram engine</w:t>
                  </w:r>
                </w:p>
              </w:tc>
              <w:tc>
                <w:tcPr>
                  <w:tcW w:type="dxa" w:w="3238"/>
                </w:tcPr>
                <w:p>
                  <w:r>
                    <w:rPr>
                      <w:rFonts w:ascii="Times New Roman" w:hAnsi="Times New Roman" w:eastAsia="바탕"/>
                      <w:sz w:val="18"/>
                    </w:rPr>
                    <w:t>SIGIL — own DSL · recursive descent parser · Python/Pillow composition</w:t>
                  </w:r>
                </w:p>
              </w:tc>
              <w:tc>
                <w:tcPr>
                  <w:tcW w:type="dxa" w:w="3238"/>
                </w:tcPr>
                <w:p>
                  <w:r>
                    <w:rPr>
                      <w:rFonts w:ascii="Times New Roman" w:hAnsi="Times New Roman" w:eastAsia="바탕"/>
                      <w:sz w:val="18"/>
                    </w:rPr>
                    <w:t>78 morphemes</w:t>
                  </w:r>
                </w:p>
              </w:tc>
            </w:tr>
            <w:tr>
              <w:tc>
                <w:tcPr>
                  <w:tcW w:type="dxa" w:w="3238"/>
                </w:tcPr>
                <w:p>
                  <w:r>
                    <w:rPr>
                      <w:rFonts w:ascii="Times New Roman" w:hAnsi="Times New Roman" w:eastAsia="바탕"/>
                      <w:sz w:val="18"/>
                    </w:rPr>
                    <w:t>Speech engine</w:t>
                  </w:r>
                </w:p>
              </w:tc>
              <w:tc>
                <w:tcPr>
                  <w:tcW w:type="dxa" w:w="3238"/>
                </w:tcPr>
                <w:p>
                  <w:r>
                    <w:rPr>
                      <w:rFonts w:ascii="Times New Roman" w:hAnsi="Times New Roman" w:eastAsia="바탕"/>
                      <w:sz w:val="18"/>
                    </w:rPr>
                    <w:t>VOCA — own composition logic · Web Speech API</w:t>
                  </w:r>
                </w:p>
              </w:tc>
              <w:tc>
                <w:tcPr>
                  <w:tcW w:type="dxa" w:w="3238"/>
                </w:tcPr>
                <w:p>
                  <w:r>
                    <w:rPr>
                      <w:rFonts w:ascii="Times New Roman" w:hAnsi="Times New Roman" w:eastAsia="바탕"/>
                      <w:sz w:val="18"/>
                    </w:rPr>
                    <w:t>Device built-in voices</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Runs in the browser</w:t>
                  </w:r>
                </w:p>
              </w:tc>
            </w:tr>
            <w:tr>
              <w:tc>
                <w:tcPr>
                  <w:tcW w:type="dxa" w:w="3238"/>
                </w:tcPr>
                <w:p>
                  <w:r>
                    <w:rPr>
                      <w:rFonts w:ascii="Times New Roman" w:hAnsi="Times New Roman" w:eastAsia="바탕"/>
                      <w:sz w:val="18"/>
                    </w:rPr>
                    <w:t>Nutrition estimation</w:t>
                  </w:r>
                </w:p>
              </w:tc>
              <w:tc>
                <w:tcPr>
                  <w:tcW w:type="dxa" w:w="3238"/>
                </w:tcPr>
                <w:p>
                  <w:r>
                    <w:rPr>
                      <w:rFonts w:ascii="Times New Roman" w:hAnsi="Times New Roman" w:eastAsia="바탕"/>
                      <w:sz w:val="18"/>
                    </w:rPr>
                    <w:t>EfficientNet-B0 224px (trained on Nutrition5k) · onnxruntime-web</w:t>
                  </w:r>
                </w:p>
              </w:tc>
              <w:tc>
                <w:tcPr>
                  <w:tcW w:type="dxa" w:w="3238"/>
                </w:tcPr>
                <w:p>
                  <w:r>
                    <w:rPr>
                      <w:rFonts w:ascii="Times New Roman" w:hAnsi="Times New Roman" w:eastAsia="바탕"/>
                      <w:sz w:val="18"/>
                    </w:rPr>
                    <w:t>On-device inference</w:t>
                  </w:r>
                </w:p>
              </w:tc>
            </w:tr>
            <w:tr>
              <w:tc>
                <w:tcPr>
                  <w:tcW w:type="dxa" w:w="3238"/>
                </w:tcPr>
                <w:p>
                  <w:r>
                    <w:rPr>
                      <w:rFonts w:ascii="Times New Roman" w:hAnsi="Times New Roman" w:eastAsia="바탕"/>
                      <w:sz w:val="18"/>
                    </w:rPr>
                    <w:t>Product data</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Image recognition</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Hardware</w:t>
                  </w:r>
                </w:p>
              </w:tc>
              <w:tc>
                <w:tcPr>
                  <w:tcW w:type="dxa" w:w="3238"/>
                </w:tcPr>
                <w:p>
                  <w:r>
                    <w:rPr>
                      <w:rFonts w:ascii="Times New Roman" w:hAnsi="Times New Roman" w:eastAsia="바탕"/>
                      <w:sz w:val="18"/>
                    </w:rPr>
                    <w:t>Raspberry Pi 3B · 3 servos · WS2812 · DS1302</w:t>
                  </w:r>
                </w:p>
              </w:tc>
              <w:tc>
                <w:tcPr>
                  <w:tcW w:type="dxa" w:w="3238"/>
                </w:tcPr>
                <w:p>
                  <w:r>
                    <w:rPr>
                      <w:rFonts w:ascii="Times New Roman" w:hAnsi="Times New Roman" w:eastAsia="바탕"/>
                      <w:sz w:val="18"/>
                    </w:rPr>
                    <w:t>3 trays</w:t>
                  </w:r>
                </w:p>
              </w:tc>
            </w:tr>
            <w:tr>
              <w:tc>
                <w:tcPr>
                  <w:tcW w:type="dxa" w:w="3238"/>
                </w:tcPr>
                <w:p>
                  <w:r>
                    <w:rPr>
                      <w:rFonts w:ascii="Times New Roman" w:hAnsi="Times New Roman" w:eastAsia="바탕"/>
                      <w:sz w:val="18"/>
                    </w:rPr>
                    <w:t>Deployment</w:t>
                  </w:r>
                </w:p>
              </w:tc>
              <w:tc>
                <w:tcPr>
                  <w:tcW w:type="dxa" w:w="3238"/>
                </w:tcPr>
                <w:p>
                  <w:r>
                    <w:rPr>
                      <w:rFonts w:ascii="Times New Roman" w:hAnsi="Times New Roman" w:eastAsia="바탕"/>
                      <w:sz w:val="18"/>
                    </w:rPr>
                    <w:t>fly.io (Tokyo) · 1 GB persistent volume</w:t>
                  </w:r>
                </w:p>
              </w:tc>
              <w:tc>
                <w:tcPr>
                  <w:tcW w:type="dxa" w:w="3238"/>
                </w:tcPr>
                <w:p>
                  <w:r>
                    <w:rPr>
                      <w:rFonts w:ascii="Times New Roman" w:hAnsi="Times New Roman" w:eastAsia="바탕"/>
                      <w:sz w:val="18"/>
                    </w:rPr>
                    <w:t>Stops when idle, wakes on request</w:t>
                  </w:r>
                </w:p>
              </w:tc>
            </w:tr>
          </w:tbl>
          <w:p/>
          <w:p>
            <w:pPr>
              <w:spacing w:after="120"/>
            </w:pPr>
          </w:p>
          <w:p>
            <w:pPr>
              <w:spacing w:after="80" w:line="276" w:lineRule="auto"/>
              <w:jc w:val="both"/>
            </w:pPr>
            <w:r>
              <w:rPr>
                <w:rFonts w:ascii="Times New Roman" w:hAnsi="Times New Roman" w:eastAsia="바탕"/>
                <w:sz w:val="20"/>
              </w:rPr>
              <w:t xml:space="preserve">The last row should be set down first. To avoid leaving a machine idle we set </w:t>
            </w:r>
            <w:r>
              <w:rPr>
                <w:rFonts w:ascii="Consolas" w:hAnsi="Consolas" w:eastAsia="Consolas"/>
                <w:sz w:val="19"/>
              </w:rPr>
              <w:t>min_machines_running = 0</w:t>
            </w:r>
            <w:r>
              <w:rPr>
                <w:rFonts w:ascii="Times New Roman" w:hAnsi="Times New Roman" w:eastAsia="바탕"/>
                <w:sz w:val="20"/>
              </w:rPr>
              <w:t>, so it stops when nobody is using it and wakes on the first request. Anyone opening it for the first time therefore waits a few seconds. Measured on 3 August 2026, the first request took 6.5 seconds and the ones after it 0.17. That 6.5 seconds is what someone who reads this document and opens the deployment meets first, so it is recorded. Running it always-on would remove it, but that is a question of cost rather than of design.</w:t>
            </w:r>
          </w:p>
          <w:p>
            <w:pPr>
              <w:spacing w:after="80" w:line="276" w:lineRule="auto"/>
              <w:jc w:val="both"/>
            </w:pPr>
            <w:r>
              <w:rPr>
                <w:rFonts w:ascii="Times New Roman" w:hAnsi="Times New Roman" w:eastAsia="바탕"/>
                <w:sz w:val="20"/>
              </w:rPr>
              <w:t>Reading the last column on its own shows how this stack is put together. The heavy things are on the device and the light things are on the server. A 16 MB nutrition estimation model runs in the browser, while recognising what a photograph shows goes out to the server. This is the reverse of an ordinary web app. Sending heavy computation to the server is the conventional choice, and it lets the device be old and makes the model easy to swap.</w:t>
            </w:r>
          </w:p>
          <w:p>
            <w:pPr>
              <w:spacing w:after="80" w:line="276" w:lineRule="auto"/>
              <w:jc w:val="both"/>
            </w:pPr>
            <w:r>
              <w:rPr>
                <w:rFonts w:ascii="Times New Roman" w:hAnsi="Times New Roman" w:eastAsia="바탕"/>
                <w:sz w:val="20"/>
              </w:rPr>
              <w:t>There is one reason for inverting that convention. Anything on the server becomes nothing when the internet drops. Only the things "without which the verdict does not hold at all" were therefore moved onto the device.</w:t>
            </w:r>
          </w:p>
          <w:p>
            <w:pPr>
              <w:spacing w:after="80" w:line="276" w:lineRule="auto"/>
              <w:jc w:val="both"/>
            </w:pPr>
            <w:r>
              <w:rPr>
                <w:rFonts w:ascii="Times New Roman" w:hAnsi="Times New Roman" w:eastAsia="바탕"/>
                <w:sz w:val="20"/>
              </w:rPr>
              <w:t>[Table 23] What runs where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Task</w:t>
                  </w:r>
                </w:p>
              </w:tc>
              <w:tc>
                <w:tcPr>
                  <w:tcW w:type="dxa" w:w="3238"/>
                  <w:shd w:val="clear" w:fill="F2F2F2"/>
                </w:tcPr>
                <w:p>
                  <w:r>
                    <w:rPr>
                      <w:rFonts w:ascii="Times New Roman" w:hAnsi="Times New Roman" w:eastAsia="바탕"/>
                      <w:b/>
                      <w:sz w:val="18"/>
                    </w:rPr>
                    <w:t>Runs on</w:t>
                  </w:r>
                </w:p>
              </w:tc>
              <w:tc>
                <w:tcPr>
                  <w:tcW w:type="dxa" w:w="3238"/>
                  <w:shd w:val="clear" w:fill="F2F2F2"/>
                </w:tcPr>
                <w:p>
                  <w:r>
                    <w:rPr>
                      <w:rFonts w:ascii="Times New Roman" w:hAnsi="Times New Roman" w:eastAsia="바탕"/>
                      <w:b/>
                      <w:sz w:val="18"/>
                    </w:rPr>
                    <w:t>If the internet drops</w:t>
                  </w:r>
                </w:p>
              </w:tc>
            </w:tr>
            <w:tr>
              <w:tc>
                <w:tcPr>
                  <w:tcW w:type="dxa" w:w="3238"/>
                </w:tcPr>
                <w:p>
                  <w:r>
                    <w:rPr>
                      <w:rFonts w:ascii="Times New Roman" w:hAnsi="Times New Roman" w:eastAsia="바탕"/>
                      <w:sz w:val="18"/>
                    </w:rPr>
                    <w:t>Reading text from a photograph</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Label parsing and physical checks</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Prescription parsing</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Reading the paper form</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Nutrition estimation (photo)</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Verdict and daily reference calculation</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Recognising what was photographed</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Treated as unrecognised, shown as caution</w:t>
                  </w:r>
                </w:p>
              </w:tc>
            </w:tr>
            <w:tr>
              <w:tc>
                <w:tcPr>
                  <w:tcW w:type="dxa" w:w="3238"/>
                </w:tcPr>
                <w:p>
                  <w:r>
                    <w:rPr>
                      <w:rFonts w:ascii="Times New Roman" w:hAnsi="Times New Roman" w:eastAsia="바탕"/>
                      <w:sz w:val="18"/>
                    </w:rPr>
                    <w:t>Product data lookup</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Proceeds without the lookup</w:t>
                  </w:r>
                </w:p>
              </w:tc>
            </w:tr>
            <w:tr>
              <w:tc>
                <w:tcPr>
                  <w:tcW w:type="dxa" w:w="3238"/>
                </w:tcPr>
                <w:p>
                  <w:r>
                    <w:rPr>
                      <w:rFonts w:ascii="Times New Roman" w:hAnsi="Times New Roman" w:eastAsia="바탕"/>
                      <w:sz w:val="18"/>
                    </w:rPr>
                    <w:t>Composing a new pictogram</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Only pre-built ones appear</w:t>
                  </w:r>
                </w:p>
              </w:tc>
            </w:tr>
          </w:tbl>
          <w:p/>
          <w:p>
            <w:pPr>
              <w:spacing w:after="120"/>
            </w:pPr>
          </w:p>
          <w:p>
            <w:pPr>
              <w:spacing w:after="80" w:line="276" w:lineRule="auto"/>
              <w:jc w:val="both"/>
            </w:pPr>
            <w:r>
              <w:rPr>
                <w:rFonts w:ascii="Times New Roman" w:hAnsi="Times New Roman" w:eastAsia="바탕"/>
                <w:sz w:val="20"/>
              </w:rPr>
              <w:t>What separates the top six rows from the bottom three is urgency. Reading a prescription is not the kind of thing that can be postponed for want of a connection, whereas a verdict still comes out without a product lookup. Whether this boundary actually behaves as stated was checked in §5.6 with the connection cut.</w:t>
            </w:r>
          </w:p>
          <w:p>
            <w:pPr>
              <w:spacing w:after="80" w:line="276" w:lineRule="auto"/>
              <w:jc w:val="both"/>
            </w:pPr>
            <w:r>
              <w:rPr>
                <w:rFonts w:ascii="Times New Roman" w:hAnsi="Times New Roman" w:eastAsia="바탕"/>
                <w:sz w:val="20"/>
              </w:rPr>
              <w:t>One cost should be recorded. Running the model on the device means 16 MB is downloaded again whenever the model changes. Kept on the server, it could have been swapped without the user noticing. Between working without an internet connection and being fixable quietly, the former was chosen, and once the target users were settled this left no room for deliberation.</w:t>
            </w:r>
          </w:p>
          <w:p>
            <w:pPr>
              <w:spacing w:before="180" w:after="40"/>
            </w:pPr>
            <w:r>
              <w:rPr>
                <w:rFonts w:ascii="Times New Roman" w:hAnsi="Times New Roman" w:eastAsia="바탕"/>
                <w:b/>
                <w:sz w:val="23"/>
              </w:rPr>
              <w:t>4.2 Physical checks in the verdict engine</w:t>
            </w:r>
          </w:p>
          <w:p>
            <w:pPr>
              <w:spacing w:after="80" w:line="276" w:lineRule="auto"/>
              <w:jc w:val="both"/>
            </w:pPr>
            <w:r>
              <w:rPr>
                <w:rFonts w:ascii="Times New Roman" w:hAnsi="Times New Roman" w:eastAsia="바탕"/>
                <w:sz w:val="20"/>
              </w:rPr>
              <w:t xml:space="preserve">Nutrition information arrives by three routes: OCR of a nutrition label, a product database lookup, and estimation from a food photograph. The three differ in reliability, and photograph estimation is the least reliable. The most recent models in this field give a mean absolute error of </w:t>
            </w:r>
            <w:r>
              <w:rPr>
                <w:rFonts w:ascii="Times New Roman" w:hAnsi="Times New Roman" w:eastAsia="바탕"/>
                <w:b/>
                <w:sz w:val="20"/>
              </w:rPr>
              <w:t>253.7 kcal</w:t>
            </w:r>
            <w:r>
              <w:rPr>
                <w:rFonts w:ascii="Times New Roman" w:hAnsi="Times New Roman" w:eastAsia="바탕"/>
                <w:sz w:val="20"/>
              </w:rPr>
              <w:t xml:space="preserve"> for energy, 98.4 g for mass, 24.2 g for carbohydrate, 22.1 g for protein and 14.3 g for fat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How large an energy error of 253.7 kcal is becomes clear against the thresholds in §2.4. Against a daily 1,800 kcal at age 70 it is </w:t>
            </w:r>
            <w:r>
              <w:rPr>
                <w:rFonts w:ascii="Times New Roman" w:hAnsi="Times New Roman" w:eastAsia="바탕"/>
                <w:b/>
                <w:sz w:val="20"/>
              </w:rPr>
              <w:t>14%</w:t>
            </w:r>
            <w:r>
              <w:rPr>
                <w:rFonts w:ascii="Times New Roman" w:hAnsi="Times New Roman" w:eastAsia="바탕"/>
                <w:sz w:val="20"/>
              </w:rPr>
              <w:t>, and taken against a 700 kcal meal it is more than a third. That is not accuracy sufficient to judge "may I eat this" from a single photograph. This route was kept anyway because local food in the target regions is in no product database, and for that reason values from this route reach the screen only after passing exactly the same physical checks as the other two.</w:t>
            </w:r>
          </w:p>
          <w:p>
            <w:pPr>
              <w:spacing w:after="80" w:line="276" w:lineRule="auto"/>
              <w:jc w:val="both"/>
            </w:pPr>
            <w:r>
              <w:rPr>
                <w:rFonts w:ascii="Times New Roman" w:hAnsi="Times New Roman" w:eastAsia="바탕"/>
                <w:sz w:val="20"/>
              </w:rPr>
              <w:t>SnapCare therefore applies the same checks regardless of which route a value came in by.</w:t>
            </w:r>
          </w:p>
          <w:p>
            <w:pPr>
              <w:spacing w:after="80" w:line="276" w:lineRule="auto"/>
              <w:jc w:val="both"/>
            </w:pPr>
            <w:r>
              <w:rPr>
                <w:rFonts w:ascii="Times New Roman" w:hAnsi="Times New Roman" w:eastAsia="바탕"/>
                <w:sz w:val="20"/>
              </w:rPr>
              <w:t>[Table 24] Checks a value must pass before it is accepted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Check</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Range</w:t>
                  </w:r>
                </w:p>
              </w:tc>
              <w:tc>
                <w:tcPr>
                  <w:tcW w:type="dxa" w:w="4857"/>
                </w:tcPr>
                <w:p>
                  <w:r>
                    <w:rPr>
                      <w:rFonts w:ascii="Times New Roman" w:hAnsi="Times New Roman" w:eastAsia="바탕"/>
                      <w:sz w:val="18"/>
                    </w:rPr>
                    <w:t>Is each nutrient within a physically possible range</w:t>
                  </w:r>
                </w:p>
              </w:tc>
            </w:tr>
            <w:tr>
              <w:tc>
                <w:tcPr>
                  <w:tcW w:type="dxa" w:w="4857"/>
                </w:tcPr>
                <w:p>
                  <w:r>
                    <w:rPr>
                      <w:rFonts w:ascii="Times New Roman" w:hAnsi="Times New Roman" w:eastAsia="바탕"/>
                      <w:sz w:val="18"/>
                    </w:rPr>
                    <w:t>Subset</w:t>
                  </w:r>
                </w:p>
              </w:tc>
              <w:tc>
                <w:tcPr>
                  <w:tcW w:type="dxa" w:w="4857"/>
                </w:tcPr>
                <w:p>
                  <w:r>
                    <w:rPr>
                      <w:rFonts w:ascii="Times New Roman" w:hAnsi="Times New Roman" w:eastAsia="바탕"/>
                      <w:sz w:val="18"/>
                    </w:rPr>
                    <w:t>Saturated fat ≤ total fat, sugars ≤ carbohydrates</w:t>
                  </w:r>
                </w:p>
              </w:tc>
            </w:tr>
            <w:tr>
              <w:tc>
                <w:tcPr>
                  <w:tcW w:type="dxa" w:w="4857"/>
                </w:tcPr>
                <w:p>
                  <w:r>
                    <w:rPr>
                      <w:rFonts w:ascii="Times New Roman" w:hAnsi="Times New Roman" w:eastAsia="바탕"/>
                      <w:sz w:val="18"/>
                    </w:rPr>
                    <w:t>Mass balance</w:t>
                  </w:r>
                </w:p>
              </w:tc>
              <w:tc>
                <w:tcPr>
                  <w:tcW w:type="dxa" w:w="4857"/>
                </w:tcPr>
                <w:p>
                  <w:r>
                    <w:rPr>
                      <w:rFonts w:ascii="Times New Roman" w:hAnsi="Times New Roman" w:eastAsia="바탕"/>
                      <w:sz w:val="18"/>
                    </w:rPr>
                    <w:t>Does the sum of nutrients exceed the total mass</w:t>
                  </w:r>
                </w:p>
              </w:tc>
            </w:tr>
            <w:tr>
              <w:tc>
                <w:tcPr>
                  <w:tcW w:type="dxa" w:w="4857"/>
                </w:tcPr>
                <w:p>
                  <w:r>
                    <w:rPr>
                      <w:rFonts w:ascii="Times New Roman" w:hAnsi="Times New Roman" w:eastAsia="바탕"/>
                      <w:sz w:val="18"/>
                    </w:rPr>
                    <w:t>Atwater identity</w:t>
                  </w:r>
                </w:p>
              </w:tc>
              <w:tc>
                <w:tcPr>
                  <w:tcW w:type="dxa" w:w="4857"/>
                </w:tcPr>
                <w:p>
                  <w:r>
                    <w:rPr>
                      <w:rFonts w:ascii="Times New Roman" w:hAnsi="Times New Roman" w:eastAsia="바탕"/>
                      <w:sz w:val="18"/>
                    </w:rPr>
                    <w:t>4·carbohydrate + 4·protein + 9·fat ≈ energy</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0" name="Picture 30"/>
                  <wp:cNvGraphicFramePr>
                    <a:graphicFrameLocks noChangeAspect="1"/>
                  </wp:cNvGraphicFramePr>
                  <a:graphic>
                    <a:graphicData uri="http://schemas.openxmlformats.org/drawingml/2006/picture">
                      <pic:pic>
                        <pic:nvPicPr>
                          <pic:cNvPr id="0" name="fig17_gate.png"/>
                          <pic:cNvPicPr/>
                        </pic:nvPicPr>
                        <pic:blipFill>
                          <a:blip r:embed="rId4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30]</w:t>
            </w:r>
            <w:r>
              <w:rPr>
                <w:rFonts w:ascii="Times New Roman" w:hAnsi="Times New Roman" w:eastAsia="바탕"/>
                <w:color w:val="606068"/>
                <w:sz w:val="18"/>
              </w:rPr>
              <w:t xml:space="preserve"> Three paths pass through one gate (§4.2). The red line underneath is the reason the checks were gathered in one place rather than placed on each path. The third path arrived in this app later, and no additional validation code was written for it. It was simply routed through the gate that already existed.</w:t>
            </w:r>
          </w:p>
          <w:p>
            <w:pPr>
              <w:spacing w:after="80" w:line="276" w:lineRule="auto"/>
              <w:jc w:val="both"/>
            </w:pPr>
            <w:r>
              <w:rPr>
                <w:rFonts w:ascii="Times New Roman" w:hAnsi="Times New Roman" w:eastAsia="바탕"/>
                <w:sz w:val="20"/>
              </w:rPr>
              <w:t>One response in §5.7 sums up why these checks sit ahead of the verdict. Associate Professor Hangil Lee of the College of Pharmacy, Ewha Womans University, withheld judgement on whether the app could fit a pharmacy workflow and pointed at the order: accuracy has to be secured before convenience. The gate in this section is that order written into code. Wherever a value came from, it is not used in a verdict unless it holds up physically, and the price is that sometimes no value is produced.</w:t>
            </w:r>
          </w:p>
          <w:p>
            <w:pPr>
              <w:spacing w:after="80" w:line="276" w:lineRule="auto"/>
              <w:jc w:val="both"/>
            </w:pPr>
            <w:r>
              <w:rPr>
                <w:rFonts w:ascii="Times New Roman" w:hAnsi="Times New Roman" w:eastAsia="바탕"/>
                <w:sz w:val="20"/>
              </w:rPr>
              <w:t>The Atwater identity is particularly useful. It is a relation that must hold for values from any source, so the consistency of the values themselves can be checked without having to trust the source.</w:t>
            </w:r>
          </w:p>
          <w:p>
            <w:pPr>
              <w:spacing w:after="80" w:line="276" w:lineRule="auto"/>
              <w:jc w:val="both"/>
            </w:pPr>
            <w:r>
              <w:rPr>
                <w:rFonts w:ascii="Times New Roman" w:hAnsi="Times New Roman" w:eastAsia="바탕"/>
                <w:sz w:val="20"/>
              </w:rPr>
              <w:t>There was a case where this check was genuinely needed. During development the label parser was found reading the fat value at ten times its actual figure while discarding correctly read carbohydrate and protein values. The Atwater check does not let that combination through.</w:t>
            </w:r>
          </w:p>
          <w:p>
            <w:pPr>
              <w:spacing w:after="80" w:line="276" w:lineRule="auto"/>
              <w:jc w:val="both"/>
            </w:pPr>
            <w:r>
              <w:rPr>
                <w:rFonts w:ascii="Times New Roman" w:hAnsi="Times New Roman" w:eastAsia="바탕"/>
                <w:sz w:val="20"/>
              </w:rPr>
              <w:t>The checks are gathered into a single function in front of the verdict engine. All three routes pass through this function before anything becomes a value.</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physical range</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subset</w:t>
              <w:br/>
              <w:br/>
              <w:t xml:space="preserve">  const mass = (['carbohydrates', 'fat', 'protein', 'fiber', 'salt'] as NutrientKey[])</w:t>
              <w:br/>
              <w:t xml:space="preserve">    .reduce((s, k) =&gt; s + (per100[k] ?? 0), 0);</w:t>
              <w:br/>
              <w:t xml:space="preserve">  if (mass &gt; MASS_LIMIT) problems.push(`mass ${mass.toFixed(1)} g per 100 g`);     // ③ mass balance</w:t>
              <w:br/>
              <w:t xml:space="preserve">  ...</w:t>
              <w:br/>
              <w:t>}</w:t>
            </w:r>
          </w:p>
          <w:p>
            <w:pPr>
              <w:spacing w:after="80" w:line="276" w:lineRule="auto"/>
              <w:jc w:val="both"/>
            </w:pPr>
            <w:r>
              <w:rPr>
                <w:rFonts w:ascii="Times New Roman" w:hAnsi="Times New Roman" w:eastAsia="바탕"/>
                <w:sz w:val="20"/>
              </w:rPr>
              <w:t>Design intent. The checks were gathered in one place rather than placed on each route. Placing them per route means reattaching them every time a route is added, and a route where someone forgot to attach them immediately becomes an unverified channel. The third route (photograph estimation) did in fact arrive later in this app, and no additional verification code was written for it. It was simply made to pass through the gate that already existed.</w:t>
            </w:r>
          </w:p>
          <w:p>
            <w:pPr>
              <w:spacing w:after="80" w:line="276" w:lineRule="auto"/>
              <w:jc w:val="both"/>
            </w:pPr>
            <w:r>
              <w:rPr>
                <w:rFonts w:ascii="Times New Roman" w:hAnsi="Times New Roman" w:eastAsia="바탕"/>
                <w:sz w:val="20"/>
              </w:rPr>
              <w:t xml:space="preserve">Returning </w:t>
            </w:r>
            <w:r>
              <w:rPr>
                <w:rFonts w:ascii="Consolas" w:hAnsi="Consolas" w:eastAsia="Consolas"/>
                <w:sz w:val="19"/>
              </w:rPr>
              <w:t>problems</w:t>
            </w:r>
            <w:r>
              <w:rPr>
                <w:rFonts w:ascii="Times New Roman" w:hAnsi="Times New Roman" w:eastAsia="바탕"/>
                <w:sz w:val="20"/>
              </w:rPr>
              <w:t xml:space="preserve"> as an array of strings rather than a boolean is also deliberate. When a value is rejected the screen has to be able to say what went wrong rather than "could not read it," and during development those strings become the log directly. It was these strings that surfaced the case of the fat value read at ten times its figure.</w:t>
            </w:r>
          </w:p>
          <w:p>
            <w:pPr>
              <w:spacing w:before="180" w:after="40"/>
            </w:pPr>
            <w:r>
              <w:rPr>
                <w:rFonts w:ascii="Times New Roman" w:hAnsi="Times New Roman" w:eastAsia="바탕"/>
                <w:b/>
                <w:sz w:val="23"/>
              </w:rPr>
              <w:t>4.3 Choosing the hardware link</w:t>
            </w:r>
          </w:p>
          <w:p>
            <w:pPr>
              <w:spacing w:after="80" w:line="276" w:lineRule="auto"/>
              <w:jc w:val="both"/>
            </w:pPr>
            <w:r>
              <w:rPr>
                <w:rFonts w:ascii="Times New Roman" w:hAnsi="Times New Roman" w:eastAsia="바탕"/>
                <w:sz w:val="20"/>
              </w:rPr>
              <w:t>Connecting the phone to the dispenser was a problem with several constraints applying at once.</w:t>
            </w:r>
          </w:p>
          <w:p>
            <w:pPr>
              <w:spacing w:after="80" w:line="276" w:lineRule="auto"/>
              <w:jc w:val="both"/>
            </w:pPr>
            <w:r>
              <w:rPr>
                <w:rFonts w:ascii="Times New Roman" w:hAnsi="Times New Roman" w:eastAsia="바탕"/>
                <w:sz w:val="20"/>
              </w:rPr>
              <w:t>[Table 25] Connection methods considered and why each was excluded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Method</w:t>
                  </w:r>
                </w:p>
              </w:tc>
              <w:tc>
                <w:tcPr>
                  <w:tcW w:type="dxa" w:w="3238"/>
                  <w:shd w:val="clear" w:fill="F2F2F2"/>
                </w:tcPr>
                <w:p>
                  <w:r>
                    <w:rPr>
                      <w:rFonts w:ascii="Times New Roman" w:hAnsi="Times New Roman" w:eastAsia="바탕"/>
                      <w:b/>
                      <w:sz w:val="18"/>
                    </w:rPr>
                    <w:t>Reason for exclusion</w:t>
                  </w:r>
                </w:p>
              </w:tc>
              <w:tc>
                <w:tcPr>
                  <w:tcW w:type="dxa" w:w="3238"/>
                  <w:shd w:val="clear" w:fill="F2F2F2"/>
                </w:tcPr>
                <w:p>
                  <w:r>
                    <w:rPr>
                      <w:rFonts w:ascii="Times New Roman" w:hAnsi="Times New Roman" w:eastAsia="바탕"/>
                      <w:b/>
                      <w:sz w:val="18"/>
                    </w:rPr>
                    <w:t>Nature</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forces WebKit on all browsers, so </w:t>
                  </w:r>
                  <w:r>
                    <w:rPr>
                      <w:rFonts w:ascii="Consolas" w:hAnsi="Consolas" w:eastAsia="Consolas"/>
                      <w:sz w:val="17"/>
                    </w:rPr>
                    <w:t>navigator.bluetooth</w:t>
                  </w:r>
                  <w:r>
                    <w:rPr>
                      <w:rFonts w:ascii="Times New Roman" w:hAnsi="Times New Roman" w:eastAsia="바탕"/>
                      <w:sz w:val="18"/>
                    </w:rPr>
                    <w:t xml:space="preserve"> does not exist</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 xml:space="preserve">Direct </w:t>
                  </w:r>
                  <w:r>
                    <w:rPr>
                      <w:rFonts w:ascii="Consolas" w:hAnsi="Consolas" w:eastAsia="Consolas"/>
                      <w:sz w:val="17"/>
                    </w:rPr>
                    <w:t>fetch</w:t>
                  </w:r>
                  <w:r>
                    <w:rPr>
                      <w:rFonts w:ascii="Times New Roman" w:hAnsi="Times New Roman" w:eastAsia="바탕"/>
                      <w:sz w:val="18"/>
                    </w:rPr>
                    <w:t xml:space="preserve"> from an HTTPS page to the device</w:t>
                  </w:r>
                </w:p>
              </w:tc>
              <w:tc>
                <w:tcPr>
                  <w:tcW w:type="dxa" w:w="3238"/>
                </w:tcPr>
                <w:p>
                  <w:r>
                    <w:rPr>
                      <w:rFonts w:ascii="Times New Roman" w:hAnsi="Times New Roman" w:eastAsia="바탕"/>
                      <w:sz w:val="18"/>
                    </w:rPr>
                    <w:t>Mixed content blocking. The request never leaves the browser</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Cloud broker (MQTT over wss)</w:t>
                  </w:r>
                </w:p>
              </w:tc>
              <w:tc>
                <w:tcPr>
                  <w:tcW w:type="dxa" w:w="3238"/>
                </w:tcPr>
                <w:p>
                  <w:r>
                    <w:rPr>
                      <w:rFonts w:ascii="Times New Roman" w:hAnsi="Times New Roman" w:eastAsia="바탕"/>
                      <w:sz w:val="18"/>
                    </w:rPr>
                    <w:t xml:space="preserve">Solves all three problems but </w:t>
                  </w:r>
                  <w:r>
                    <w:rPr>
                      <w:rFonts w:ascii="Times New Roman" w:hAnsi="Times New Roman" w:eastAsia="바탕"/>
                      <w:b/>
                      <w:sz w:val="18"/>
                    </w:rPr>
                    <w:t>requires internet on both sides</w:t>
                  </w:r>
                </w:p>
              </w:tc>
              <w:tc>
                <w:tcPr>
                  <w:tcW w:type="dxa" w:w="3238"/>
                </w:tcPr>
                <w:p>
                  <w:r>
                    <w:rPr>
                      <w:rFonts w:ascii="Times New Roman" w:hAnsi="Times New Roman" w:eastAsia="바탕"/>
                      <w:sz w:val="18"/>
                    </w:rPr>
                    <w:t>Conflicts with the target environment</w:t>
                  </w:r>
                </w:p>
              </w:tc>
            </w:tr>
            <w:tr>
              <w:tc>
                <w:tcPr>
                  <w:tcW w:type="dxa" w:w="3238"/>
                </w:tcPr>
                <w:p>
                  <w:r>
                    <w:rPr>
                      <w:rFonts w:ascii="Times New Roman" w:hAnsi="Times New Roman" w:eastAsia="바탕"/>
                      <w:sz w:val="18"/>
                    </w:rPr>
                    <w:t>Dropping iOS support</w:t>
                  </w:r>
                </w:p>
              </w:tc>
              <w:tc>
                <w:tcPr>
                  <w:tcW w:type="dxa" w:w="3238"/>
                </w:tcPr>
                <w:p>
                  <w:r>
                    <w:rPr>
                      <w:rFonts w:ascii="Times New Roman" w:hAnsi="Times New Roman" w:eastAsia="바탕"/>
                      <w:sz w:val="18"/>
                    </w:rPr>
                    <w:t xml:space="preserve">Android share is 86.6% in Africa, 90.9% in Latin America and about 95% in India, so there is a basis, but </w:t>
                  </w:r>
                  <w:r>
                    <w:rPr>
                      <w:rFonts w:ascii="Times New Roman" w:hAnsi="Times New Roman" w:eastAsia="바탕"/>
                      <w:b/>
                      <w:sz w:val="18"/>
                    </w:rPr>
                    <w:t>it contradicts the product's claim of working for anyone</w:t>
                  </w:r>
                </w:p>
              </w:tc>
              <w:tc>
                <w:tcPr>
                  <w:tcW w:type="dxa" w:w="3238"/>
                </w:tcPr>
                <w:p>
                  <w:r>
                    <w:rPr>
                      <w:rFonts w:ascii="Times New Roman" w:hAnsi="Times New Roman" w:eastAsia="바탕"/>
                      <w:sz w:val="18"/>
                    </w:rPr>
                    <w:t>Our own principle</w:t>
                  </w:r>
                </w:p>
              </w:tc>
            </w:tr>
          </w:tbl>
          <w:p/>
          <w:p>
            <w:pPr>
              <w:spacing w:after="120"/>
            </w:pPr>
          </w:p>
          <w:p>
            <w:pPr>
              <w:spacing w:after="80" w:line="276" w:lineRule="auto"/>
              <w:jc w:val="both"/>
            </w:pPr>
            <w:r>
              <w:rPr>
                <w:rFonts w:ascii="Times New Roman" w:hAnsi="Times New Roman" w:eastAsia="바탕"/>
                <w:sz w:val="20"/>
              </w:rPr>
              <w:t>The first two are set by the platforms and cannot be worked around, the third is unacceptable as long as low-infrastructure regions are the target, and the fourth we ruled out ourselves. The last row of Table 25 is different in nature from the rest, which should be stated. Technology did not block it; we narrowed the options to keep the product's claim.</w:t>
            </w:r>
          </w:p>
          <w:p>
            <w:pPr>
              <w:spacing w:after="80" w:line="276" w:lineRule="auto"/>
              <w:jc w:val="both"/>
            </w:pPr>
            <w:r>
              <w:rPr>
                <w:rFonts w:ascii="Times New Roman" w:hAnsi="Times New Roman" w:eastAsia="바탕"/>
                <w:sz w:val="20"/>
              </w:rPr>
              <w:t xml:space="preserve">The remaining route is top-level navigation. An HTTPS page cannot </w:t>
            </w:r>
            <w:r>
              <w:rPr>
                <w:rFonts w:ascii="Consolas" w:hAnsi="Consolas" w:eastAsia="Consolas"/>
                <w:sz w:val="19"/>
              </w:rPr>
              <w:t>fetch</w:t>
            </w:r>
            <w:r>
              <w:rPr>
                <w:rFonts w:ascii="Times New Roman" w:hAnsi="Times New Roman" w:eastAsia="바탕"/>
                <w:sz w:val="20"/>
              </w:rPr>
              <w:t xml:space="preserve"> an HTTP device, but navigating to that address is not blocked. The app therefore builds a link to the device's save address, and one press from the user has the device store the schedule and show a confirmation page. No broker and no cloud are required, and the whole thing completes inside the home.</w:t>
            </w:r>
          </w:p>
          <w:p>
            <w:pPr>
              <w:spacing w:before="120" w:after="20"/>
            </w:pPr>
            <w:r>
              <w:rPr>
                <w:rFonts w:ascii="Times New Roman" w:hAnsi="Times New Roman" w:eastAsia="바탕"/>
                <w:b/>
                <w:sz w:val="21"/>
              </w:rPr>
              <w:t>4.3.1 Adding a relay path</w:t>
            </w:r>
          </w:p>
          <w:p>
            <w:pPr>
              <w:spacing w:after="80" w:line="276" w:lineRule="auto"/>
              <w:jc w:val="both"/>
            </w:pPr>
            <w:r>
              <w:rPr>
                <w:rFonts w:ascii="Times New Roman" w:hAnsi="Times New Roman" w:eastAsia="바탕"/>
                <w:sz w:val="20"/>
              </w:rPr>
              <w:t>The reason for excluding the cloud broker in the third row of Table 25 was that it "requires internet on both sides." That sentence is true when relying on that route alone. Since the LAN route above is already complete, adding an internet route on top of it does not increase the requirements.</w:t>
            </w:r>
          </w:p>
          <w:p>
            <w:pPr>
              <w:spacing w:after="80" w:line="276" w:lineRule="auto"/>
              <w:jc w:val="both"/>
            </w:pPr>
            <w:r>
              <w:rPr>
                <w:rFonts w:ascii="Times New Roman" w:hAnsi="Times New Roman" w:eastAsia="바탕"/>
                <w:sz w:val="20"/>
              </w:rPr>
              <w:t>That judgement was reached because a problem remained that the LAN route does not solve. The person managing the prescription is usually not in the house. The carer is at work and the dosing time changes on a Tuesday afternoon. And the two constraints excluded earlier in §4.3 remain in force on the LAN route. Mixed content means the app cannot call the device's API, so all a link can carry is the fields the legacy compatibility URL accepts. There is no field there for days of the week and none for duration. A Monday-Wednesday-Friday prescription goes out all seven days, and a 30-day prescription goes out until the tray is empty.</w:t>
            </w:r>
          </w:p>
          <w:p>
            <w:pPr>
              <w:spacing w:after="80" w:line="276" w:lineRule="auto"/>
              <w:jc w:val="both"/>
            </w:pPr>
            <w:r>
              <w:rPr>
                <w:rFonts w:ascii="Times New Roman" w:hAnsi="Times New Roman" w:eastAsia="바탕"/>
                <w:sz w:val="20"/>
              </w:rPr>
              <w:t>The dispenser was therefore made to hold open one outbound connection to a relay. The direction is outbound because home routers do not open a port to the dispenser, and asking them to is not something to ask for. The relay being HTTPS removes the mixed content problem, and days of the week and duration ride along.</w:t>
            </w:r>
          </w:p>
          <w:p>
            <w:pPr>
              <w:spacing w:after="80" w:line="276" w:lineRule="auto"/>
              <w:jc w:val="both"/>
            </w:pPr>
            <w:r>
              <w:rPr>
                <w:rFonts w:ascii="Times New Roman" w:hAnsi="Times New Roman" w:eastAsia="바탕"/>
                <w:sz w:val="20"/>
              </w:rPr>
              <w:t>The relay cannot read what it carries. Everything passing through is AES-256-GCM, and the key that opens it is derived independently on both sides from ten characters printed on the device. Neither side ever sends that key. The relay is given a different branch of the same derivation, a value sufficient to distinguish mailboxes and useless for opening them.</w:t>
            </w:r>
          </w:p>
          <w:p>
            <w:pPr>
              <w:spacing w:after="160"/>
            </w:pPr>
            <w:r>
              <w:rPr>
                <w:rFonts w:ascii="Consolas" w:hAnsi="Consolas" w:eastAsia="Consolas"/>
                <w:sz w:val="18"/>
              </w:rPr>
              <w:t>printed code ──HKDF──► device id      the relay's address    (relay sees it)</w:t>
              <w:br/>
              <w:t xml:space="preserve">             ──HKDF──► access token   rights to that mailbox (relay sees it)</w:t>
              <w:br/>
              <w:t xml:space="preserve">             ──HKDF──► box key        opens the schedule     (relay never sees it)</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0_relay_keys.png"/>
                          <pic:cNvPicPr/>
                        </pic:nvPicPr>
                        <pic:blipFill>
                          <a:blip r:embed="rId48"/>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31]</w:t>
            </w:r>
            <w:r>
              <w:rPr>
                <w:rFonts w:ascii="Times New Roman" w:hAnsi="Times New Roman" w:eastAsia="바탕"/>
                <w:color w:val="606068"/>
                <w:sz w:val="18"/>
              </w:rPr>
              <w:t xml:space="preserve"> Three values separate out of ten printed characters. The relay distinguishes mailboxes by the first two, and the last is sent by neither side, so the relay has no way of holding it.</w:t>
            </w:r>
          </w:p>
          <w:p>
            <w:pPr>
              <w:spacing w:after="80" w:line="276" w:lineRule="auto"/>
              <w:jc w:val="both"/>
            </w:pPr>
            <w:r>
              <w:rPr>
                <w:rFonts w:ascii="Times New Roman" w:hAnsi="Times New Roman" w:eastAsia="바탕"/>
                <w:sz w:val="20"/>
              </w:rPr>
              <w:t>This is one more channel rather than a dependency. The schedule is already on the device's SD card and the time is known to the real-time clock. Whether the relay is down, unreachable or never configured at all, nobody's dose is missed. The judgement in Table 25 stands. We still do not require a cloud.</w:t>
            </w:r>
          </w:p>
          <w:p>
            <w:pPr>
              <w:spacing w:before="180" w:after="40"/>
            </w:pPr>
            <w:r>
              <w:rPr>
                <w:rFonts w:ascii="Times New Roman" w:hAnsi="Times New Roman" w:eastAsia="바탕"/>
                <w:b/>
                <w:sz w:val="23"/>
              </w:rPr>
              <w:t>4.4 Reading the paper form</w:t>
            </w:r>
          </w:p>
          <w:p>
            <w:pPr>
              <w:spacing w:after="80" w:line="276" w:lineRule="auto"/>
              <w:jc w:val="both"/>
            </w:pPr>
            <w:r>
              <w:rPr>
                <w:rFonts w:ascii="Times New Roman" w:hAnsi="Times New Roman" w:eastAsia="바탕"/>
                <w:sz w:val="20"/>
              </w:rPr>
              <w:t>The original open-source design for the dispenser performs all configuration through a 2.8-inch touchscreen. This collides head-on with SnapCare's premise. A screen with a text menu that has to be read is the very thing we are removing.</w:t>
            </w:r>
          </w:p>
          <w:p>
            <w:pPr>
              <w:spacing w:after="80" w:line="276" w:lineRule="auto"/>
              <w:jc w:val="both"/>
            </w:pPr>
            <w:r>
              <w:rPr>
                <w:rFonts w:ascii="Times New Roman" w:hAnsi="Times New Roman" w:eastAsia="바탕"/>
                <w:sz w:val="20"/>
              </w:rPr>
              <w:t>The screen was therefore removed and replaced with a paper form. A doctor or pharmacist marks the form, and the patient only has to photograph it. Reading is performed by an OpenCV parser the team built.</w:t>
            </w:r>
          </w:p>
          <w:p>
            <w:pPr>
              <w:spacing w:after="80" w:line="276" w:lineRule="auto"/>
              <w:jc w:val="both"/>
            </w:pPr>
            <w:r>
              <w:rPr>
                <w:rFonts w:ascii="Times New Roman" w:hAnsi="Times New Roman" w:eastAsia="바탕"/>
                <w:sz w:val="20"/>
              </w:rPr>
              <w:t>The reader was first built in Python with OpenCV on the server and then moved into the browser. The reason for moving it is that this was the only path still requiring the internet. Text recognition, the nutrition estimation model, the verdict engine and the pictograms are all on the device (§4.1), and yet the feature one would most want in a clinic without internet was calling a server.</w:t>
            </w:r>
          </w:p>
          <w:p>
            <w:pPr>
              <w:spacing w:after="80" w:line="276" w:lineRule="auto"/>
              <w:jc w:val="both"/>
            </w:pPr>
            <w:r>
              <w:rPr>
                <w:rFonts w:ascii="Times New Roman" w:hAnsi="Times New Roman" w:eastAsia="바탕"/>
                <w:sz w:val="20"/>
              </w:rPr>
              <w:t>Rather than shipping opencv.js whole, only the functions used were transcribed: Gaussian blur, adaptive thresholding, Laplacian variance, perspective warp and Otsu thresholding. Making the user fetch another 8 MB runs against the judgement in §4.5 that the 16 MB model is fetched on first use. We wrote the ArUco detection ourselves as well. Only four markers are printed on the paper, so there is no reason to port a dictionary of 50, and the path by which a candidate could be "corrected" into one of the other 46 disappears with it.</w:t>
            </w:r>
          </w:p>
          <w:p>
            <w:pPr>
              <w:spacing w:after="80" w:line="276" w:lineRule="auto"/>
              <w:jc w:val="both"/>
            </w:pPr>
            <w:r>
              <w:rPr>
                <w:rFonts w:ascii="Times New Roman" w:hAnsi="Times New Roman" w:eastAsia="바탕"/>
                <w:sz w:val="20"/>
              </w:rPr>
              <w:t>We kept the Python version rather than deleting it, because whether the two implementations give the same answer is the only way to judge whether the move was correct.</w:t>
            </w:r>
          </w:p>
          <w:p>
            <w:pPr>
              <w:spacing w:after="80" w:line="276" w:lineRule="auto"/>
              <w:jc w:val="both"/>
            </w:pPr>
            <w:r>
              <w:rPr>
                <w:rFonts w:ascii="Times New Roman" w:hAnsi="Times New Roman" w:eastAsia="바탕"/>
                <w:sz w:val="20"/>
              </w:rPr>
              <w:t>Reading has four stages. ArUco markers at the four corners of the form are located and the perspective corrected (flattened to 1000×1000), adaptive thresholding is applied, the fill ratio of each bubble is measured at coordinates given in a configuration file, and what has been marked is decided from those ratios. If the markers are not found, no value is invented and an error meaning "the whole sheet is not in frame" is returned.</w:t>
            </w:r>
          </w:p>
          <w:p>
            <w:pPr>
              <w:spacing w:after="80" w:line="276" w:lineRule="auto"/>
              <w:jc w:val="both"/>
            </w:pPr>
            <w:r>
              <w:rPr>
                <w:rFonts w:ascii="Times New Roman" w:hAnsi="Times New Roman" w:eastAsia="바탕"/>
                <w:sz w:val="20"/>
              </w:rPr>
              <w:t>There is one judgement embedded in the rule for deciding values. Items where only one option may be chosen (tray number, duration, time of day) are handled differently from items where several may be (days of the week). The former picks the single darkest cell but only if the gap from the runner-up is sufficient, and otherwise yields no value and reports a problem. Picking plausibly among ambiguous marks is the worst failure on this route. A misread dosing time is more dangerous than no value read at all.</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nothing filled in</w:t>
              <w:br/>
              <w:t xml:space="preserve">        values[name] = None</w:t>
              <w:br/>
              <w:t xml:space="preserve">        problems.append(f"{name}: nothing filled")</w:t>
              <w:br/>
              <w:br/>
              <w:t xml:space="preserve">    elif second[1] &gt;= abs_min:                 # ② both properly filled in</w:t>
              <w:br/>
              <w:t xml:space="preserve">        # Looking only at the gap between the two would quietly pick whichever</w:t>
              <w:br/>
              <w:t xml:space="preserve">        # the pen covered more on a sheet where someone changed their mind and</w:t>
              <w:br/>
              <w:t xml:space="preserve">        # did not erase the first mark. The paper is saying two different</w:t>
              <w:br/>
              <w:t xml:space="preserve">        # things, and only the person who wrote it knows which one it was.</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does not separate</w:t>
              <w:br/>
              <w:t xml:space="preserve">        values[name] = None</w:t>
              <w:br/>
              <w:t xml:space="preserve">        problems.append(</w:t>
              <w:br/>
              <w:t xml:space="preserve">            f"{name}: ambiguous ({best[0]}={best[1]:.2f}, {second[0]}={second[1]:.2f})"</w:t>
              <w:br/>
              <w:t xml:space="preserve">        )</w:t>
              <w:br/>
              <w:br/>
              <w:t xml:space="preserve">    else:</w:t>
              <w:br/>
              <w:t xml:space="preserve">        values[name] = best[0]</w:t>
              <w:br/>
              <w:t>else:                                          # multi-select items (days of week)</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3_formsheet.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32]</w:t>
            </w:r>
            <w:r>
              <w:rPr>
                <w:rFonts w:ascii="Times New Roman" w:hAnsi="Times New Roman" w:eastAsia="바탕"/>
                <w:color w:val="606068"/>
                <w:sz w:val="18"/>
              </w:rPr>
              <w:t xml:space="preserve"> The four stages of reading the paper form, and the three branches on which a single-choice item yields no value. All three red boxes end on the side that produces nothing.</w:t>
            </w:r>
          </w:p>
          <w:p>
            <w:pPr>
              <w:spacing w:after="80" w:line="276" w:lineRule="auto"/>
              <w:jc w:val="both"/>
            </w:pPr>
            <w:r>
              <w:rPr>
                <w:rFonts w:ascii="Times New Roman" w:hAnsi="Times New Roman" w:eastAsia="바탕"/>
                <w:sz w:val="20"/>
              </w:rPr>
              <w:t>Design intent. That branches ①, ② and ③ all end by yielding no value is the character of this function. Branch ② especially. When two cells are both properly filled in, picking the darker is technically easy, but it manufactures something the paper did not say.</w:t>
            </w:r>
          </w:p>
          <w:p>
            <w:pPr>
              <w:spacing w:after="80" w:line="276" w:lineRule="auto"/>
              <w:jc w:val="both"/>
            </w:pPr>
            <w:r>
              <w:rPr>
                <w:rFonts w:ascii="Times New Roman" w:hAnsi="Times New Roman" w:eastAsia="바탕"/>
                <w:sz w:val="20"/>
              </w:rPr>
              <w:t>A named problem (</w:t>
            </w:r>
            <w:r>
              <w:rPr>
                <w:rFonts w:ascii="Consolas" w:hAnsi="Consolas" w:eastAsia="Consolas"/>
                <w:sz w:val="19"/>
              </w:rPr>
              <w:t>problems</w:t>
            </w:r>
            <w:r>
              <w:rPr>
                <w:rFonts w:ascii="Times New Roman" w:hAnsi="Times New Roman" w:eastAsia="바탕"/>
                <w:sz w:val="20"/>
              </w:rPr>
              <w:t>) sends the user back to the paper and is recoverable. A confident misreading is not. This is why the reader has to be able to say "I do not know," and it is the same principle as the parser in §2.2 turning an invented name into an error rather than a picture, and the checker in §5.2 not lowering the pass criterion to fit the results.</w:t>
            </w:r>
          </w:p>
          <w:p>
            <w:pPr>
              <w:spacing w:after="80" w:line="276" w:lineRule="auto"/>
              <w:jc w:val="both"/>
            </w:pPr>
            <w:r>
              <w:rPr>
                <w:rFonts w:ascii="Times New Roman" w:hAnsi="Times New Roman" w:eastAsia="바탕"/>
                <w:sz w:val="20"/>
              </w:rPr>
              <w:t xml:space="preserve">For multi-select items such as days of the week, the </w:t>
            </w:r>
            <w:r>
              <w:rPr>
                <w:rFonts w:ascii="Consolas" w:hAnsi="Consolas" w:eastAsia="Consolas"/>
                <w:sz w:val="19"/>
              </w:rPr>
              <w:t>unclear</w:t>
            </w:r>
            <w:r>
              <w:rPr>
                <w:rFonts w:ascii="Times New Roman" w:hAnsi="Times New Roman" w:eastAsia="바탕"/>
                <w:sz w:val="20"/>
              </w:rPr>
              <w:t xml:space="preserve"> marks, those too ambiguous to call either empty or filled, are collected separately and reported alongside. Yielding a value while also saying what is doubtful is better than dropping something silently.</w:t>
            </w:r>
          </w:p>
          <w:p>
            <w:pPr>
              <w:spacing w:before="120" w:after="20"/>
            </w:pPr>
            <w:r>
              <w:rPr>
                <w:rFonts w:ascii="Times New Roman" w:hAnsi="Times New Roman" w:eastAsia="바탕"/>
                <w:b/>
                <w:sz w:val="21"/>
              </w:rPr>
              <w:t>4.4.1 Measuring where degradation breaks it</w:t>
            </w:r>
          </w:p>
          <w:p>
            <w:pPr>
              <w:spacing w:after="80" w:line="276" w:lineRule="auto"/>
              <w:jc w:val="both"/>
            </w:pPr>
            <w:r>
              <w:rPr>
                <w:rFonts w:ascii="Times New Roman" w:hAnsi="Times New Roman" w:eastAsia="바탕"/>
                <w:sz w:val="20"/>
              </w:rPr>
              <w:t>We wanted how rough a photograph the parser can still read to be recorded as a measurement rather than an opinion. Testing an optical mark reader normally means printing the form, filling it by hand and photographing it under various lighting, and repeating all of that whenever the code changes. Then nobody runs it, and behaviour under poor conditions stays a guess.</w:t>
            </w:r>
          </w:p>
          <w:p>
            <w:pPr>
              <w:spacing w:after="80" w:line="276" w:lineRule="auto"/>
              <w:jc w:val="both"/>
            </w:pPr>
            <w:r>
              <w:rPr>
                <w:rFonts w:ascii="Times New Roman" w:hAnsi="Times New Roman" w:eastAsia="바탕"/>
                <w:sz w:val="20"/>
              </w:rPr>
              <w:t>Photographs are therefore generated. Starting from a real form image, bubbles are filled the way a person fills them (off centre, underfilled, sometimes spilling past the outline), and that sheet is put through what a phone camera does to it: perspective from holding it at an angle, a lighting gradient from standing with a window behind, defocus, sensor noise, JPEG compression. The result is an image the parser has never seen and whose correct answer is known exactly.</w:t>
            </w:r>
          </w:p>
          <w:p>
            <w:pPr>
              <w:spacing w:after="80" w:line="276" w:lineRule="auto"/>
              <w:jc w:val="both"/>
            </w:pPr>
            <w:r>
              <w:rPr>
                <w:rFonts w:ascii="Times New Roman" w:hAnsi="Times New Roman" w:eastAsia="바탕"/>
                <w:sz w:val="20"/>
              </w:rPr>
              <w:t>With this generator each degradation was pushed until reading broke. A point counts as passing only if every trial at that point was read correctly.</w:t>
            </w:r>
          </w:p>
          <w:p>
            <w:pPr>
              <w:spacing w:after="80" w:line="276" w:lineRule="auto"/>
              <w:jc w:val="both"/>
            </w:pPr>
            <w:r>
              <w:rPr>
                <w:rFonts w:ascii="Times New Roman" w:hAnsi="Times New Roman" w:eastAsia="바탕"/>
                <w:sz w:val="20"/>
              </w:rPr>
              <w:t>[Table 26] The last point at which reading stayed at 100% (16 images per 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Degradation</w:t>
                  </w:r>
                </w:p>
              </w:tc>
              <w:tc>
                <w:tcPr>
                  <w:tcW w:type="dxa" w:w="3238"/>
                  <w:shd w:val="clear" w:fill="F2F2F2"/>
                </w:tcPr>
                <w:p>
                  <w:r>
                    <w:rPr>
                      <w:rFonts w:ascii="Times New Roman" w:hAnsi="Times New Roman" w:eastAsia="바탕"/>
                      <w:b/>
                      <w:sz w:val="18"/>
                    </w:rPr>
                    <w:t>Last value read entirely correctly</w:t>
                  </w:r>
                </w:p>
              </w:tc>
              <w:tc>
                <w:tcPr>
                  <w:tcW w:type="dxa" w:w="3238"/>
                  <w:shd w:val="clear" w:fill="F2F2F2"/>
                </w:tcPr>
                <w:p>
                  <w:r>
                    <w:rPr>
                      <w:rFonts w:ascii="Times New Roman" w:hAnsi="Times New Roman" w:eastAsia="바탕"/>
                      <w:b/>
                      <w:sz w:val="18"/>
                    </w:rPr>
                    <w:t>At the next value</w:t>
                  </w:r>
                </w:p>
              </w:tc>
            </w:tr>
            <w:tr>
              <w:tc>
                <w:tcPr>
                  <w:tcW w:type="dxa" w:w="3238"/>
                </w:tcPr>
                <w:p>
                  <w:r>
                    <w:rPr>
                      <w:rFonts w:ascii="Times New Roman" w:hAnsi="Times New Roman" w:eastAsia="바탕"/>
                      <w:sz w:val="18"/>
                    </w:rPr>
                    <w:t>Defocus</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Collapses at 2.5 px</w:t>
                  </w:r>
                </w:p>
              </w:tc>
            </w:tr>
            <w:tr>
              <w:tc>
                <w:tcPr>
                  <w:tcW w:type="dxa" w:w="3238"/>
                </w:tcPr>
                <w:p>
                  <w:r>
                    <w:rPr>
                      <w:rFonts w:ascii="Times New Roman" w:hAnsi="Times New Roman" w:eastAsia="바탕"/>
                      <w:sz w:val="18"/>
                    </w:rPr>
                    <w:t>Perspective skew</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Collapses at 0.22</w:t>
                  </w:r>
                </w:p>
              </w:tc>
            </w:tr>
            <w:tr>
              <w:tc>
                <w:tcPr>
                  <w:tcW w:type="dxa" w:w="3238"/>
                </w:tcPr>
                <w:p>
                  <w:r>
                    <w:rPr>
                      <w:rFonts w:ascii="Times New Roman" w:hAnsi="Times New Roman" w:eastAsia="바탕"/>
                      <w:sz w:val="18"/>
                    </w:rPr>
                    <w:t>Sensor noise</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81.2% at σ = 48</w:t>
                  </w:r>
                </w:p>
              </w:tc>
            </w:tr>
            <w:tr>
              <w:tc>
                <w:tcPr>
                  <w:tcW w:type="dxa" w:w="3238"/>
                </w:tcPr>
                <w:p>
                  <w:r>
                    <w:rPr>
                      <w:rFonts w:ascii="Times New Roman" w:hAnsi="Times New Roman" w:eastAsia="바탕"/>
                      <w:sz w:val="18"/>
                    </w:rPr>
                    <w:t>Mark fill level</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50.0% at 0.3</w:t>
                  </w:r>
                </w:p>
              </w:tc>
            </w:tr>
            <w:tr>
              <w:tc>
                <w:tcPr>
                  <w:tcW w:type="dxa" w:w="3238"/>
                </w:tcPr>
                <w:p>
                  <w:r>
                    <w:rPr>
                      <w:rFonts w:ascii="Times New Roman" w:hAnsi="Times New Roman" w:eastAsia="바탕"/>
                      <w:sz w:val="18"/>
                    </w:rPr>
                    <w:t>Shadow</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Brightness</w:t>
                  </w:r>
                </w:p>
              </w:tc>
              <w:tc>
                <w:tcPr>
                  <w:tcW w:type="dxa" w:w="3238"/>
                </w:tcPr>
                <w:p>
                  <w:r>
                    <w:rPr>
                      <w:rFonts w:ascii="Times New Roman" w:hAnsi="Times New Roman" w:eastAsia="바탕"/>
                      <w:sz w:val="18"/>
                    </w:rPr>
                    <w:t>0.25×</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JPEG quality</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Did not break within the range tested</w:t>
                  </w:r>
                </w:p>
              </w:tc>
            </w:tr>
          </w:tbl>
          <w:p/>
          <w:p>
            <w:pPr>
              <w:spacing w:after="120"/>
            </w:pPr>
          </w:p>
          <w:p>
            <w:pPr>
              <w:spacing w:after="80" w:line="276" w:lineRule="auto"/>
              <w:jc w:val="both"/>
            </w:pPr>
            <w:r>
              <w:rPr>
                <w:rFonts w:ascii="Times New Roman" w:hAnsi="Times New Roman" w:eastAsia="바탕"/>
                <w:sz w:val="20"/>
              </w:rPr>
              <w:t>The bottom three rows are lower bounds rather than limits. They mean 100% was maintained to the harshest value tested, and where they break beyond that is unknown. Reading them as limits would record the parser as worse than it is, so they are marked separately.</w:t>
            </w:r>
          </w:p>
          <w:p>
            <w:pPr>
              <w:spacing w:after="80" w:line="276" w:lineRule="auto"/>
              <w:jc w:val="both"/>
            </w:pPr>
            <w:r>
              <w:rPr>
                <w:rFonts w:ascii="Times New Roman" w:hAnsi="Times New Roman" w:eastAsia="바탕"/>
                <w:sz w:val="20"/>
              </w:rPr>
              <w:t>What has to be read here is not the left of Table 26 but what the right two rows mean. Robustness to shadow and brightness comes from adaptive thresholding setting its threshold locally, and surviving JPEG quality 8 comes from what is being read being a filled area rather than a fine pattern. The two that collapse are different in nature. Defocus and mark fill erase the boundary of the bubble itself. Half being wrong at fill 0.3 is because at that lightness the difference between filled and unfilled becomes smaller than the paper's own blotching.</w:t>
            </w:r>
          </w:p>
          <w:p>
            <w:pPr>
              <w:spacing w:after="80" w:line="276" w:lineRule="auto"/>
              <w:jc w:val="both"/>
            </w:pPr>
            <w:r>
              <w:rPr>
                <w:rFonts w:ascii="Times New Roman" w:hAnsi="Times New Roman" w:eastAsia="바탕"/>
                <w:sz w:val="20"/>
              </w:rPr>
              <w:t>Two practical instructions come out of this. Fill more than half the box when marking, and focus when taking the photograph. Nothing else needs worrying about. Dark, shadowed or poor quality makes no difference. That is also why the guidance printed alongside the paper form says only these two things.</w:t>
            </w:r>
          </w:p>
          <w:p>
            <w:pPr>
              <w:spacing w:before="160" w:after="60"/>
              <w:jc w:val="center"/>
            </w:pPr>
            <w:r>
              <w:drawing>
                <wp:inline xmlns:a="http://schemas.openxmlformats.org/drawingml/2006/main" xmlns:pic="http://schemas.openxmlformats.org/drawingml/2006/picture">
                  <wp:extent cx="5486400" cy="3135086"/>
                  <wp:docPr id="33" name="Picture 33"/>
                  <wp:cNvGraphicFramePr>
                    <a:graphicFrameLocks noChangeAspect="1"/>
                  </wp:cNvGraphicFramePr>
                  <a:graphic>
                    <a:graphicData uri="http://schemas.openxmlformats.org/drawingml/2006/picture">
                      <pic:pic>
                        <pic:nvPicPr>
                          <pic:cNvPr id="0" name="fig14_formsheet.png"/>
                          <pic:cNvPicPr/>
                        </pic:nvPicPr>
                        <pic:blipFill>
                          <a:blip r:embed="rId50"/>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33]</w:t>
            </w:r>
            <w:r>
              <w:rPr>
                <w:rFonts w:ascii="Times New Roman" w:hAnsi="Times New Roman" w:eastAsia="바탕"/>
                <w:color w:val="606068"/>
                <w:sz w:val="18"/>
              </w:rPr>
              <w:t xml:space="preserve"> The paper form and what was read from it. On the left is the photograph actually fed to the parser, having been through perspective, a lighting gradient, defocus and sensor noise. On the right are the values read from that photograph and the fill score of each cell. The gap between the chosen cells and the rest (0.55–0.74 against 0.00–0.04) shows the reading was not a near miss at the boundary. For each row the figure prints the lowest of the chosen cells beside the highest of the rest. The narrowest is the days row, where the lowest chosen is Friday at 0.55 and the highest unchosen is Tuesday at 0.04, a factor of fourteen even there. The top of the range, 0.74, is Wednesday, and does not appear in the figure because the figure prints only each row's minimum. The values match exactly the answers set when the image was generated.</w:t>
            </w:r>
          </w:p>
          <w:p>
            <w:pPr>
              <w:spacing w:before="180" w:after="40"/>
            </w:pPr>
            <w:r>
              <w:rPr>
                <w:rFonts w:ascii="Times New Roman" w:hAnsi="Times New Roman" w:eastAsia="바탕"/>
                <w:b/>
                <w:sz w:val="23"/>
              </w:rPr>
              <w:t>4.5 Offline operation</w:t>
            </w:r>
          </w:p>
          <w:p>
            <w:pPr>
              <w:spacing w:after="80" w:line="276" w:lineRule="auto"/>
              <w:jc w:val="both"/>
            </w:pPr>
            <w:r>
              <w:rPr>
                <w:rFonts w:ascii="Times New Roman" w:hAnsi="Times New Roman" w:eastAsia="바탕"/>
                <w:sz w:val="20"/>
              </w:rPr>
              <w:t>The app is built as a PWA, with a service worker caching screens, assets and the model. The strategy differs by the nature of the resource. Navigation is handled network-first so that the latest is always fetched when connected, while static assets and pictograms are handled cache-first. The verdict API is not intercepted, because failing is better than serving a stale answer.</w:t>
            </w:r>
          </w:p>
          <w:p>
            <w:pPr>
              <w:spacing w:before="160" w:after="60"/>
              <w:jc w:val="center"/>
            </w:pPr>
            <w:r>
              <w:drawing>
                <wp:inline xmlns:a="http://schemas.openxmlformats.org/drawingml/2006/main" xmlns:pic="http://schemas.openxmlformats.org/drawingml/2006/picture">
                  <wp:extent cx="5486400" cy="2194560"/>
                  <wp:docPr id="34" name="Picture 34"/>
                  <wp:cNvGraphicFramePr>
                    <a:graphicFrameLocks noChangeAspect="1"/>
                  </wp:cNvGraphicFramePr>
                  <a:graphic>
                    <a:graphicData uri="http://schemas.openxmlformats.org/drawingml/2006/picture">
                      <pic:pic>
                        <pic:nvPicPr>
                          <pic:cNvPr id="0" name="fig21_sw.png"/>
                          <pic:cNvPicPr/>
                        </pic:nvPicPr>
                        <pic:blipFill>
                          <a:blip r:embed="rId5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34]</w:t>
            </w:r>
            <w:r>
              <w:rPr>
                <w:rFonts w:ascii="Times New Roman" w:hAnsi="Times New Roman" w:eastAsia="바탕"/>
                <w:color w:val="606068"/>
                <w:sz w:val="18"/>
              </w:rPr>
              <w:t xml:space="preserve"> The three ways the service worker splits a request. Each is a distinct judgement, and the red cell is a constraint that exists because this app handles medicines.</w:t>
            </w:r>
          </w:p>
          <w:p>
            <w:pPr>
              <w:spacing w:after="80" w:line="276" w:lineRule="auto"/>
              <w:jc w:val="both"/>
            </w:pPr>
            <w:r>
              <w:rPr>
                <w:rFonts w:ascii="Times New Roman" w:hAnsi="Times New Roman" w:eastAsia="바탕"/>
                <w:sz w:val="20"/>
              </w:rPr>
              <w:t xml:space="preserve">The branching of the strategy is visible directly in the service worker's </w:t>
            </w:r>
            <w:r>
              <w:rPr>
                <w:rFonts w:ascii="Consolas" w:hAnsi="Consolas" w:eastAsia="Consolas"/>
                <w:sz w:val="19"/>
              </w:rPr>
              <w:t>fetch</w:t>
            </w:r>
            <w:r>
              <w:rPr>
                <w:rFonts w:ascii="Times New Roman" w:hAnsi="Times New Roman" w:eastAsia="바탕"/>
                <w:sz w:val="20"/>
              </w:rPr>
              <w:t xml:space="preserve"> handling (</w:t>
            </w:r>
            <w:r>
              <w:rPr>
                <w:rFonts w:ascii="Consolas" w:hAnsi="Consolas" w:eastAsia="Consolas"/>
                <w:sz w:val="19"/>
              </w:rPr>
              <w:t>public/sw.js</w:t>
            </w:r>
            <w:r>
              <w:rPr>
                <w:rFonts w:ascii="Times New Roman" w:hAnsi="Times New Roman" w:eastAsia="바탕"/>
                <w:sz w:val="20"/>
              </w:rPr>
              <w:t>). Only two long comments have been shortened; the code is as it stands in the file.</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The verdict API is not intercepted. Failing is better than giving a stale</w:t>
              <w:br/>
              <w:t xml:space="preserve">  // answer, and the app code (cached profile and pictograms) already covers</w:t>
              <w:br/>
              <w:t xml:space="preserve">  // being offline.</w:t>
              <w:br/>
              <w:t xml:space="preserve">  if (url.pathname.startsWith('/api/')) return;</w:t>
              <w:br/>
              <w:br/>
              <w:t xml:space="preserve">  if (request.mode === 'navigate')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…the nutrition model (16 MB) and its config. Comment shortened</w:t>
              <w:br/>
              <w:t xml:space="preserve">    url.pathname.startsWith('/models/') ||</w:t>
              <w:br/>
              <w:t xml:space="preserve">    // …the OCR worker, core and language data</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Design intent. The three branches are three different judgements.</w:t>
            </w:r>
          </w:p>
          <w:p>
            <w:pPr>
              <w:spacing w:after="80" w:line="276" w:lineRule="auto"/>
              <w:jc w:val="both"/>
            </w:pPr>
            <w:r>
              <w:rPr>
                <w:rFonts w:ascii="Times New Roman" w:hAnsi="Times New Roman" w:eastAsia="바탕"/>
                <w:sz w:val="20"/>
              </w:rPr>
              <w:t>The verdict API is not intercepted because what this app handles is medicine. Returning a cached verdict leaves the user with no way of knowing whether it is today's answer or yesterday's. A failure is noticed by the user; a stale success is not.</w:t>
            </w:r>
          </w:p>
          <w:p>
            <w:pPr>
              <w:spacing w:after="80" w:line="276" w:lineRule="auto"/>
              <w:jc w:val="both"/>
            </w:pPr>
            <w:r>
              <w:rPr>
                <w:rFonts w:ascii="Times New Roman" w:hAnsi="Times New Roman" w:eastAsia="바탕"/>
                <w:sz w:val="20"/>
              </w:rPr>
              <w:t>Putting the model and OCR assets under cache-first was the fix for a defect found during development. The whole point of the app is that it computes verdicts on the device without an internet connection, yet the 16 MB estimation model was missing from the cache list. The computation ran on the device while the model to perform it could not be fetched, so the offline claim was only half true.</w:t>
            </w:r>
          </w:p>
          <w:p>
            <w:pPr>
              <w:spacing w:after="80" w:line="276" w:lineRule="auto"/>
              <w:jc w:val="both"/>
            </w:pPr>
            <w:r>
              <w:rPr>
                <w:rFonts w:ascii="Times New Roman" w:hAnsi="Times New Roman" w:eastAsia="바탕"/>
                <w:sz w:val="20"/>
              </w:rPr>
              <w:t>These assets are nonetheless not prefetched. They are fetched on first use. Demanding 16 MB at the first screen makes the app look as though it has not opened at all where the network is slow, and that is precisely where our users are. One feature arriving late is better than the app not opening.</w:t>
            </w:r>
          </w:p>
          <w:p>
            <w:pPr>
              <w:spacing w:after="80" w:line="276" w:lineRule="auto"/>
              <w:jc w:val="both"/>
            </w:pPr>
            <w:r>
              <w:rPr>
                <w:rFonts w:ascii="Times New Roman" w:hAnsi="Times New Roman" w:eastAsia="바탕"/>
                <w:sz w:val="20"/>
              </w:rPr>
              <w:t xml:space="preserve">Cache names carry an asset fingerprint. A pictogram's address is derived from its DSL string, so replacing a picture does not change the address, and without a fingerprint anyone who visited even once would keep being served the old picture. When </w:t>
            </w:r>
            <w:r>
              <w:rPr>
                <w:rFonts w:ascii="Consolas" w:hAnsi="Consolas" w:eastAsia="Consolas"/>
                <w:sz w:val="19"/>
              </w:rPr>
              <w:t>qty_four</w:t>
            </w:r>
            <w:r>
              <w:rPr>
                <w:rFonts w:ascii="Times New Roman" w:hAnsi="Times New Roman" w:eastAsia="바탕"/>
                <w:sz w:val="20"/>
              </w:rPr>
              <w:t xml:space="preserve"> was fixed and re-rendered (§5.2), the fingerprint changed and all 113 cached pictograms were re-rendered as a set. Without the fingerprint those users would have gone on seeing the four rings from before the fix.</w:t>
            </w:r>
          </w:p>
          <w:p>
            <w:pPr>
              <w:spacing w:before="180" w:after="40"/>
            </w:pPr>
            <w:r>
              <w:rPr>
                <w:rFonts w:ascii="Times New Roman" w:hAnsi="Times New Roman" w:eastAsia="바탕"/>
                <w:b/>
                <w:sz w:val="23"/>
              </w:rPr>
              <w:t>4.6 Privacy</w:t>
            </w:r>
          </w:p>
          <w:p>
            <w:pPr>
              <w:spacing w:after="80" w:line="276" w:lineRule="auto"/>
              <w:jc w:val="both"/>
            </w:pPr>
            <w:r>
              <w:rPr>
                <w:rFonts w:ascii="Times New Roman" w:hAnsi="Times New Roman" w:eastAsia="바탕"/>
                <w:sz w:val="20"/>
              </w:rPr>
              <w:t>Because health information is involved, measures were needed on both storage and transmission.</w:t>
            </w:r>
          </w:p>
          <w:p>
            <w:pPr>
              <w:spacing w:after="80" w:line="276" w:lineRule="auto"/>
              <w:jc w:val="both"/>
            </w:pPr>
            <w:r>
              <w:rPr>
                <w:rFonts w:ascii="Times New Roman" w:hAnsi="Times New Roman" w:eastAsia="바탕"/>
                <w:sz w:val="20"/>
              </w:rPr>
              <w:t>[Table 27] Privacy-related design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Photographs</w:t>
                  </w:r>
                </w:p>
              </w:tc>
              <w:tc>
                <w:tcPr>
                  <w:tcW w:type="dxa" w:w="4857"/>
                </w:tcPr>
                <w:p>
                  <w:r>
                    <w:rPr>
                      <w:rFonts w:ascii="Times New Roman" w:hAnsi="Times New Roman" w:eastAsia="바탕"/>
                      <w:b/>
                      <w:sz w:val="18"/>
                    </w:rPr>
                    <w:t>Not stored.</w:t>
                  </w:r>
                  <w:r>
                    <w:rPr>
                      <w:rFonts w:ascii="Times New Roman" w:hAnsi="Times New Roman" w:eastAsia="바탕"/>
                      <w:sz w:val="18"/>
                    </w:rPr>
                    <w:t xml:space="preserve"> Only the verdict is kept and the image is discarded</w:t>
                  </w:r>
                </w:p>
              </w:tc>
            </w:tr>
            <w:tr>
              <w:tc>
                <w:tcPr>
                  <w:tcW w:type="dxa" w:w="4857"/>
                </w:tcPr>
                <w:p>
                  <w:r>
                    <w:rPr>
                      <w:rFonts w:ascii="Times New Roman" w:hAnsi="Times New Roman" w:eastAsia="바탕"/>
                      <w:sz w:val="18"/>
                    </w:rPr>
                    <w:t>Verdict history</w:t>
                  </w:r>
                </w:p>
              </w:tc>
              <w:tc>
                <w:tcPr>
                  <w:tcW w:type="dxa" w:w="4857"/>
                </w:tcPr>
                <w:p>
                  <w:r>
                    <w:rPr>
                      <w:rFonts w:ascii="Times New Roman" w:hAnsi="Times New Roman" w:eastAsia="바탕"/>
                      <w:sz w:val="18"/>
                    </w:rPr>
                    <w:t>Automatically deleted after 90 days</w:t>
                  </w:r>
                </w:p>
              </w:tc>
            </w:tr>
            <w:tr>
              <w:tc>
                <w:tcPr>
                  <w:tcW w:type="dxa" w:w="4857"/>
                </w:tcPr>
                <w:p>
                  <w:r>
                    <w:rPr>
                      <w:rFonts w:ascii="Times New Roman" w:hAnsi="Times New Roman" w:eastAsia="바탕"/>
                      <w:sz w:val="18"/>
                    </w:rPr>
                    <w:t>Server backup</w:t>
                  </w:r>
                </w:p>
              </w:tc>
              <w:tc>
                <w:tcPr>
                  <w:tcW w:type="dxa" w:w="4857"/>
                </w:tcPr>
                <w:p>
                  <w:r>
                    <w:rPr>
                      <w:rFonts w:ascii="Times New Roman" w:hAnsi="Times New Roman" w:eastAsia="바탕"/>
                      <w:sz w:val="18"/>
                    </w:rPr>
                    <w:t>Encrypted on the device before transmission. The server cannot decrypt it</w:t>
                  </w:r>
                </w:p>
              </w:tc>
            </w:tr>
            <w:tr>
              <w:tc>
                <w:tcPr>
                  <w:tcW w:type="dxa" w:w="4857"/>
                </w:tcPr>
                <w:p>
                  <w:r>
                    <w:rPr>
                      <w:rFonts w:ascii="Times New Roman" w:hAnsi="Times New Roman" w:eastAsia="바탕"/>
                      <w:sz w:val="18"/>
                    </w:rPr>
                    <w:t>Identity</w:t>
                  </w:r>
                </w:p>
              </w:tc>
              <w:tc>
                <w:tcPr>
                  <w:tcW w:type="dxa" w:w="4857"/>
                </w:tcPr>
                <w:p>
                  <w:r>
                    <w:rPr>
                      <w:rFonts w:ascii="Times New Roman" w:hAnsi="Times New Roman" w:eastAsia="바탕"/>
                      <w:sz w:val="18"/>
                    </w:rPr>
                    <w:t xml:space="preserve">Requests signed with an ECDSA private key generated on the device. The key is </w:t>
                  </w:r>
                  <w:r>
                    <w:rPr>
                      <w:rFonts w:ascii="Consolas" w:hAnsi="Consolas" w:eastAsia="Consolas"/>
                      <w:sz w:val="17"/>
                    </w:rPr>
                    <w:t>extractable: false</w:t>
                  </w:r>
                  <w:r>
                    <w:rPr>
                      <w:rFonts w:ascii="Times New Roman" w:hAnsi="Times New Roman" w:eastAsia="바탕"/>
                      <w:sz w:val="18"/>
                    </w:rPr>
                    <w:t xml:space="preserve"> and cannot leave the browser</w:t>
                  </w:r>
                </w:p>
              </w:tc>
            </w:tr>
            <w:tr>
              <w:tc>
                <w:tcPr>
                  <w:tcW w:type="dxa" w:w="4857"/>
                </w:tcPr>
                <w:p>
                  <w:r>
                    <w:rPr>
                      <w:rFonts w:ascii="Times New Roman" w:hAnsi="Times New Roman" w:eastAsia="바탕"/>
                      <w:sz w:val="18"/>
                    </w:rPr>
                    <w:t>Access control</w:t>
                  </w:r>
                </w:p>
              </w:tc>
              <w:tc>
                <w:tcPr>
                  <w:tcW w:type="dxa" w:w="4857"/>
                </w:tcPr>
                <w:p>
                  <w:r>
                    <w:rPr>
                      <w:rFonts w:ascii="Times New Roman" w:hAnsi="Times New Roman" w:eastAsia="바탕"/>
                      <w:sz w:val="18"/>
                    </w:rPr>
                    <w:t>The storage location is derived from the public key. There is no way to request another person's data</w:t>
                  </w:r>
                </w:p>
              </w:tc>
            </w:tr>
            <w:tr>
              <w:tc>
                <w:tcPr>
                  <w:tcW w:type="dxa" w:w="4857"/>
                </w:tcPr>
                <w:p>
                  <w:r>
                    <w:rPr>
                      <w:rFonts w:ascii="Times New Roman" w:hAnsi="Times New Roman" w:eastAsia="바탕"/>
                      <w:sz w:val="18"/>
                    </w:rPr>
                    <w:t>Transmission</w:t>
                  </w:r>
                </w:p>
              </w:tc>
              <w:tc>
                <w:tcPr>
                  <w:tcW w:type="dxa" w:w="4857"/>
                </w:tcPr>
                <w:p>
                  <w:r>
                    <w:rPr>
                      <w:rFonts w:ascii="Times New Roman" w:hAnsi="Times New Roman" w:eastAsia="바탕"/>
                      <w:sz w:val="18"/>
                    </w:rPr>
                    <w:t>Signatures travel in a request header. They do not appear in the address bar or in access logs</w:t>
                  </w:r>
                </w:p>
              </w:tc>
            </w:tr>
          </w:tbl>
          <w:p/>
          <w:p>
            <w:pPr>
              <w:spacing w:after="120"/>
            </w:pPr>
          </w:p>
          <w:p>
            <w:pPr>
              <w:spacing w:after="80" w:line="276" w:lineRule="auto"/>
              <w:jc w:val="both"/>
            </w:pPr>
            <w:r>
              <w:rPr>
                <w:rFonts w:ascii="Times New Roman" w:hAnsi="Times New Roman" w:eastAsia="바탕"/>
                <w:sz w:val="20"/>
              </w:rPr>
              <w:t>The last three of these are fixes for problems found during development. The initial implementation passed a random string as a query parameter, which meant the key granting access to health information accumulated in server logs, and anyone who observed the value once could reproduce it.</w:t>
            </w:r>
          </w:p>
          <w:p>
            <w:pPr>
              <w:spacing w:after="80" w:line="276" w:lineRule="auto"/>
              <w:jc w:val="both"/>
            </w:pPr>
            <w:r>
              <w:rPr>
                <w:rFonts w:ascii="Times New Roman" w:hAnsi="Times New Roman" w:eastAsia="바탕"/>
                <w:sz w:val="20"/>
              </w:rPr>
              <w:t>The fix was to use a key pair instead of a string.</w:t>
            </w:r>
          </w:p>
          <w:p>
            <w:pPr>
              <w:spacing w:after="160"/>
            </w:pPr>
            <w:r>
              <w:rPr>
                <w:rFonts w:ascii="Consolas" w:hAnsi="Consolas" w:eastAsia="Consolas"/>
                <w:sz w:val="18"/>
              </w:rPr>
              <w:t>// extractable: false — this one word is the point. With true, anyone who read</w:t>
              <w:br/>
              <w:t>// the storage takes the key with them, and then it is no different from using</w:t>
              <w:br/>
              <w:t>// a string.</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5" name="Picture 35"/>
                  <wp:cNvGraphicFramePr>
                    <a:graphicFrameLocks noChangeAspect="1"/>
                  </wp:cNvGraphicFramePr>
                  <a:graphic>
                    <a:graphicData uri="http://schemas.openxmlformats.org/drawingml/2006/picture">
                      <pic:pic>
                        <pic:nvPicPr>
                          <pic:cNvPr id="0" name="fig24_sign.png"/>
                          <pic:cNvPicPr/>
                        </pic:nvPicPr>
                        <pic:blipFill>
                          <a:blip r:embed="rId52"/>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35]</w:t>
            </w:r>
            <w:r>
              <w:rPr>
                <w:rFonts w:ascii="Times New Roman" w:hAnsi="Times New Roman" w:eastAsia="바탕"/>
                <w:color w:val="606068"/>
                <w:sz w:val="18"/>
              </w:rPr>
              <w:t xml:space="preserve"> What goes into the signature and what each part prevents. Missing either one makes the signature worthless. Deriving the storage location from the public key is not the signature but a separate access control.</w:t>
            </w:r>
          </w:p>
          <w:p>
            <w:pPr>
              <w:spacing w:after="80" w:line="276" w:lineRule="auto"/>
              <w:jc w:val="both"/>
            </w:pPr>
            <w:r>
              <w:rPr>
                <w:rFonts w:ascii="Times New Roman" w:hAnsi="Times New Roman" w:eastAsia="바탕"/>
                <w:sz w:val="20"/>
              </w:rPr>
              <w:t xml:space="preserve">Design intent. The second argument to </w:t>
            </w:r>
            <w:r>
              <w:rPr>
                <w:rFonts w:ascii="Consolas" w:hAnsi="Consolas" w:eastAsia="Consolas"/>
                <w:sz w:val="19"/>
              </w:rPr>
              <w:t>generateKey</w:t>
            </w:r>
            <w:r>
              <w:rPr>
                <w:rFonts w:ascii="Times New Roman" w:hAnsi="Times New Roman" w:eastAsia="바탕"/>
                <w:sz w:val="20"/>
              </w:rPr>
              <w:t xml:space="preserve"> being </w:t>
            </w:r>
            <w:r>
              <w:rPr>
                <w:rFonts w:ascii="Consolas" w:hAnsi="Consolas" w:eastAsia="Consolas"/>
                <w:sz w:val="19"/>
              </w:rPr>
              <w:t>false</w:t>
            </w:r>
            <w:r>
              <w:rPr>
                <w:rFonts w:ascii="Times New Roman" w:hAnsi="Times New Roman" w:eastAsia="바탕"/>
                <w:sz w:val="20"/>
              </w:rPr>
              <w:t xml:space="preserve"> means not even our own code can read the private key. All we can do is ask the browser to sign with it. Taking the device's entire storage therefore yields nothing worth taking. It becomes something usable only by holding that device rather than a value that can be observed and imitated.</w:t>
            </w:r>
          </w:p>
          <w:p>
            <w:pPr>
              <w:spacing w:after="80" w:line="276" w:lineRule="auto"/>
              <w:jc w:val="both"/>
            </w:pPr>
            <w:r>
              <w:rPr>
                <w:rFonts w:ascii="Times New Roman" w:hAnsi="Times New Roman" w:eastAsia="바탕"/>
                <w:sz w:val="20"/>
              </w:rPr>
              <w:t>What is signed is composed for reasons of its own. The timestamp (</w:t>
            </w:r>
            <w:r>
              <w:rPr>
                <w:rFonts w:ascii="Consolas" w:hAnsi="Consolas" w:eastAsia="Consolas"/>
                <w:sz w:val="19"/>
              </w:rPr>
              <w:t>ts</w:t>
            </w:r>
            <w:r>
              <w:rPr>
                <w:rFonts w:ascii="Times New Roman" w:hAnsi="Times New Roman" w:eastAsia="바탕"/>
                <w:sz w:val="20"/>
              </w:rPr>
              <w:t>) is included so that anyone intercepting a signature cannot replay it later. Because the time is inside the signature the server can reject stale ones, and in practice requests older than five minutes are refused. The body hash is included so that a signature cannot be detached and attached to different content. Missing either one makes the signature worthless.</w:t>
            </w:r>
          </w:p>
          <w:p>
            <w:pPr>
              <w:spacing w:after="80" w:line="276" w:lineRule="auto"/>
              <w:jc w:val="both"/>
            </w:pPr>
            <w:r>
              <w:rPr>
                <w:rFonts w:ascii="Times New Roman" w:hAnsi="Times New Roman" w:eastAsia="바탕"/>
                <w:sz w:val="20"/>
              </w:rPr>
              <w:t>Permissions the app does not use are closed at the browser level. The response header opens the camera and closes the microphone and location.</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That one line is also why the checking step of §3.8 has the user point at a picture rather than say the answer back. Carrying teach-back over as it stands would need speech recognition, and that is a permission we chose not to open. Opening a permission and not using it is different from closing it: the first can quietly begin to be used when the code changes, the second is refused by the browser.</w:t>
            </w:r>
          </w:p>
          <w:p>
            <w:pPr>
              <w:spacing w:after="80" w:line="276" w:lineRule="auto"/>
              <w:jc w:val="both"/>
            </w:pPr>
            <w:r>
              <w:rPr>
                <w:rFonts w:ascii="Times New Roman" w:hAnsi="Times New Roman" w:eastAsia="바탕"/>
                <w:sz w:val="20"/>
              </w:rPr>
              <w:t xml:space="preserve">The same middleware sends four more headers. The values are recorded here as confirmed on the deployment. </w:t>
            </w:r>
            <w:r>
              <w:rPr>
                <w:rFonts w:ascii="Consolas" w:hAnsi="Consolas" w:eastAsia="Consolas"/>
                <w:sz w:val="19"/>
              </w:rPr>
              <w:t>Content-Security-Policy</w:t>
            </w:r>
            <w:r>
              <w:rPr>
                <w:rFonts w:ascii="Times New Roman" w:hAnsi="Times New Roman" w:eastAsia="바탕"/>
                <w:sz w:val="20"/>
              </w:rPr>
              <w:t xml:space="preserve"> opens with </w:t>
            </w:r>
            <w:r>
              <w:rPr>
                <w:rFonts w:ascii="Consolas" w:hAnsi="Consolas" w:eastAsia="Consolas"/>
                <w:sz w:val="19"/>
              </w:rPr>
              <w:t>default-src 'self'</w:t>
            </w:r>
            <w:r>
              <w:rPr>
                <w:rFonts w:ascii="Times New Roman" w:hAnsi="Times New Roman" w:eastAsia="바탕"/>
                <w:sz w:val="20"/>
              </w:rPr>
              <w:t xml:space="preserve"> and pins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and </w:t>
            </w:r>
            <w:r>
              <w:rPr>
                <w:rFonts w:ascii="Consolas" w:hAnsi="Consolas" w:eastAsia="Consolas"/>
                <w:sz w:val="19"/>
              </w:rPr>
              <w:t>form-action 'self'</w:t>
            </w:r>
            <w:r>
              <w:rPr>
                <w:rFonts w:ascii="Times New Roman" w:hAnsi="Times New Roman" w:eastAsia="바탕"/>
                <w:sz w:val="20"/>
              </w:rPr>
              <w:t xml:space="preserve">. Its </w:t>
            </w:r>
            <w:r>
              <w:rPr>
                <w:rFonts w:ascii="Consolas" w:hAnsi="Consolas" w:eastAsia="Consolas"/>
                <w:sz w:val="19"/>
              </w:rPr>
              <w:t>connect-src</w:t>
            </w:r>
            <w:r>
              <w:rPr>
                <w:rFonts w:ascii="Times New Roman" w:hAnsi="Times New Roman" w:eastAsia="바탕"/>
                <w:sz w:val="20"/>
              </w:rPr>
              <w:t xml:space="preserve"> is only </w:t>
            </w:r>
            <w:r>
              <w:rPr>
                <w:rFonts w:ascii="Consolas" w:hAnsi="Consolas" w:eastAsia="Consolas"/>
                <w:sz w:val="19"/>
              </w:rPr>
              <w:t>'self'</w:t>
            </w:r>
            <w:r>
              <w:rPr>
                <w:rFonts w:ascii="Times New Roman" w:hAnsi="Times New Roman" w:eastAsia="바탕"/>
                <w:sz w:val="20"/>
              </w:rPr>
              <w:t xml:space="preserve"> and </w:t>
            </w:r>
            <w:r>
              <w:rPr>
                <w:rFonts w:ascii="Consolas" w:hAnsi="Consolas" w:eastAsia="Consolas"/>
                <w:sz w:val="19"/>
              </w:rPr>
              <w:t>https://snapcare-relay.fly.dev</w:t>
            </w:r>
            <w:r>
              <w:rPr>
                <w:rFonts w:ascii="Times New Roman" w:hAnsi="Times New Roman" w:eastAsia="바탕"/>
                <w:sz w:val="20"/>
              </w:rPr>
              <w:t xml:space="preserve">. That the app sends requests nowhere else is therefore not a rule but something the browser enforces, and this header is what makes the relay the single external channel described in §4.3. The other three are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and </w:t>
            </w:r>
            <w:r>
              <w:rPr>
                <w:rFonts w:ascii="Consolas" w:hAnsi="Consolas" w:eastAsia="Consolas"/>
                <w:sz w:val="19"/>
              </w:rPr>
              <w:t>Strict-Transport-Security: max-age=31536000; includeSubDomains</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There is a weak point in that policy and it belongs here too. </w:t>
            </w:r>
            <w:r>
              <w:rPr>
                <w:rFonts w:ascii="Consolas" w:hAnsi="Consolas" w:eastAsia="Consolas"/>
                <w:sz w:val="19"/>
              </w:rPr>
              <w:t>script-src</w:t>
            </w:r>
            <w:r>
              <w:rPr>
                <w:rFonts w:ascii="Times New Roman" w:hAnsi="Times New Roman" w:eastAsia="바탕"/>
                <w:sz w:val="20"/>
              </w:rPr>
              <w:t xml:space="preserve"> and </w:t>
            </w:r>
            <w:r>
              <w:rPr>
                <w:rFonts w:ascii="Consolas" w:hAnsi="Consolas" w:eastAsia="Consolas"/>
                <w:sz w:val="19"/>
              </w:rPr>
              <w:t>style-src</w:t>
            </w:r>
            <w:r>
              <w:rPr>
                <w:rFonts w:ascii="Times New Roman" w:hAnsi="Times New Roman" w:eastAsia="바탕"/>
                <w:sz w:val="20"/>
              </w:rPr>
              <w:t xml:space="preserve"> both carry </w:t>
            </w:r>
            <w:r>
              <w:rPr>
                <w:rFonts w:ascii="Consolas" w:hAnsi="Consolas" w:eastAsia="Consolas"/>
                <w:sz w:val="19"/>
              </w:rPr>
              <w:t>'unsafe-inline'</w:t>
            </w:r>
            <w:r>
              <w:rPr>
                <w:rFonts w:ascii="Times New Roman" w:hAnsi="Times New Roman" w:eastAsia="바탕"/>
                <w:sz w:val="20"/>
              </w:rPr>
              <w:t xml:space="preserve">, because Next.js emits its bootstrap script and styles inline, and the defence against cross-site scripting is that much shallower for it. A nonce would remove the need; we did not do it. </w:t>
            </w:r>
            <w:r>
              <w:rPr>
                <w:rFonts w:ascii="Consolas" w:hAnsi="Consolas" w:eastAsia="Consolas"/>
                <w:sz w:val="19"/>
              </w:rPr>
              <w:t>wasm-unsafe-eval</w:t>
            </w:r>
            <w:r>
              <w:rPr>
                <w:rFonts w:ascii="Times New Roman" w:hAnsi="Times New Roman" w:eastAsia="바탕"/>
                <w:sz w:val="20"/>
              </w:rPr>
              <w:t xml:space="preserve"> is open for the same kind of reason, because the on-device nutrition model and the OCR are WebAssembly (§4.1). Having a reason to leave something open is not the same as it being closed, so it is recorded as open.</w:t>
            </w:r>
          </w:p>
          <w:p>
            <w:pPr>
              <w:spacing w:after="80" w:line="276" w:lineRule="auto"/>
              <w:jc w:val="both"/>
            </w:pPr>
            <w:r>
              <w:rPr>
                <w:rFonts w:ascii="Times New Roman" w:hAnsi="Times New Roman" w:eastAsia="바탕"/>
                <w:sz w:val="20"/>
              </w:rPr>
              <w:t>Deriving the household ID as the SHA-256 hash of the public key follows the same reasoning. It removes the registration step, and requesting someone else's data would require their private key, which cannot leave their device. Access control becomes structural rather than a rule.</w:t>
            </w:r>
          </w:p>
          <w:p>
            <w:pPr>
              <w:spacing w:before="180" w:after="40"/>
            </w:pPr>
            <w:r>
              <w:rPr>
                <w:rFonts w:ascii="Times New Roman" w:hAnsi="Times New Roman" w:eastAsia="바탕"/>
                <w:b/>
                <w:sz w:val="23"/>
              </w:rPr>
              <w:t>4.7 The repository and how the team worked</w:t>
            </w:r>
          </w:p>
          <w:p>
            <w:pPr>
              <w:spacing w:after="80" w:line="276" w:lineRule="auto"/>
              <w:jc w:val="both"/>
            </w:pPr>
            <w:r>
              <w:rPr>
                <w:rFonts w:ascii="Times New Roman" w:hAnsi="Times New Roman" w:eastAsia="바탕"/>
                <w:sz w:val="20"/>
              </w:rPr>
              <w:t>The web app, the hardware firmware and the training code are managed in a single repository. It will be transferred to the contest organisation's GitHub organisation for final submission.</w:t>
            </w:r>
          </w:p>
          <w:p>
            <w:pPr>
              <w:spacing w:after="80" w:line="276" w:lineRule="auto"/>
              <w:jc w:val="both"/>
            </w:pPr>
            <w:r>
              <w:rPr>
                <w:rFonts w:ascii="Times New Roman" w:hAnsi="Times New Roman" w:eastAsia="바탕"/>
                <w:sz w:val="20"/>
              </w:rPr>
              <w:t>[Table 28] Composition of the repository (as of 3 August 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Area</w:t>
                  </w:r>
                </w:p>
              </w:tc>
              <w:tc>
                <w:tcPr>
                  <w:tcW w:type="dxa" w:w="2429"/>
                  <w:shd w:val="clear" w:fill="F2F2F2"/>
                </w:tcPr>
                <w:p>
                  <w:r>
                    <w:rPr>
                      <w:rFonts w:ascii="Times New Roman" w:hAnsi="Times New Roman" w:eastAsia="바탕"/>
                      <w:b/>
                      <w:sz w:val="18"/>
                    </w:rPr>
                    <w:t>Files</w:t>
                  </w:r>
                </w:p>
              </w:tc>
              <w:tc>
                <w:tcPr>
                  <w:tcW w:type="dxa" w:w="2429"/>
                  <w:shd w:val="clear" w:fill="F2F2F2"/>
                </w:tcPr>
                <w:p>
                  <w:r>
                    <w:rPr>
                      <w:rFonts w:ascii="Times New Roman" w:hAnsi="Times New Roman" w:eastAsia="바탕"/>
                      <w:b/>
                      <w:sz w:val="18"/>
                    </w:rPr>
                    <w:t>Lines</w:t>
                  </w:r>
                </w:p>
              </w:tc>
              <w:tc>
                <w:tcPr>
                  <w:tcW w:type="dxa" w:w="2429"/>
                  <w:shd w:val="clear" w:fill="F2F2F2"/>
                </w:tcPr>
                <w:p>
                  <w:r>
                    <w:rPr>
                      <w:rFonts w:ascii="Times New Roman" w:hAnsi="Times New Roman" w:eastAsia="바탕"/>
                      <w:b/>
                      <w:sz w:val="18"/>
                    </w:rPr>
                    <w:t>Responsibility</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Screens and flow</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Verdict, nutrition, inference, sync</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morphemes and composition</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Firmware and paper form reading</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Nutrition model training and evaluation</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The proposal and figure generation</w:t>
                  </w:r>
                </w:p>
              </w:tc>
            </w:tr>
          </w:tbl>
          <w:p/>
          <w:p>
            <w:pPr>
              <w:spacing w:after="120"/>
            </w:pPr>
          </w:p>
          <w:p>
            <w:pPr>
              <w:spacing w:after="80" w:line="276" w:lineRule="auto"/>
              <w:jc w:val="both"/>
            </w:pPr>
            <w:r>
              <w:rPr>
                <w:rFonts w:ascii="Times New Roman" w:hAnsi="Times New Roman" w:eastAsia="바탕"/>
                <w:sz w:val="20"/>
              </w:rPr>
              <w:t>There is a reason the repository was not split. What breaks most often in this project is not the individual parts but the agreements between them. The cause of 0 passes out of 28 in the formative evaluation in §5.1 was a missing connection rather than a defect in any single feature. With the repository split, that connection cannot be tested in one go, and there is no way to tell which side changed first.</w:t>
            </w:r>
          </w:p>
          <w:p>
            <w:pPr>
              <w:spacing w:after="80" w:line="276" w:lineRule="auto"/>
              <w:jc w:val="both"/>
            </w:pPr>
            <w:r>
              <w:rPr>
                <w:rFonts w:ascii="Times New Roman" w:hAnsi="Times New Roman" w:eastAsia="바탕"/>
                <w:sz w:val="20"/>
              </w:rPr>
              <w:t>In practice three kinds of test in this repository each require something different.</w:t>
            </w:r>
          </w:p>
          <w:p>
            <w:pPr>
              <w:spacing w:after="80" w:line="276" w:lineRule="auto"/>
              <w:jc w:val="both"/>
            </w:pPr>
            <w:r>
              <w:rPr>
                <w:rFonts w:ascii="Times New Roman" w:hAnsi="Times New Roman" w:eastAsia="바탕"/>
                <w:sz w:val="20"/>
              </w:rPr>
              <w:t>[Table 29] Three kinds of 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Kind</w:t>
                  </w:r>
                </w:p>
              </w:tc>
              <w:tc>
                <w:tcPr>
                  <w:tcW w:type="dxa" w:w="2429"/>
                  <w:shd w:val="clear" w:fill="F2F2F2"/>
                </w:tcPr>
                <w:p>
                  <w:r>
                    <w:rPr>
                      <w:rFonts w:ascii="Times New Roman" w:hAnsi="Times New Roman" w:eastAsia="바탕"/>
                      <w:b/>
                      <w:sz w:val="18"/>
                    </w:rPr>
                    <w:t>Tests</w:t>
                  </w:r>
                </w:p>
              </w:tc>
              <w:tc>
                <w:tcPr>
                  <w:tcW w:type="dxa" w:w="2429"/>
                  <w:shd w:val="clear" w:fill="F2F2F2"/>
                </w:tcPr>
                <w:p>
                  <w:r>
                    <w:rPr>
                      <w:rFonts w:ascii="Times New Roman" w:hAnsi="Times New Roman" w:eastAsia="바탕"/>
                      <w:b/>
                      <w:sz w:val="18"/>
                    </w:rPr>
                    <w:t>Result</w:t>
                  </w:r>
                </w:p>
              </w:tc>
              <w:tc>
                <w:tcPr>
                  <w:tcW w:type="dxa" w:w="2429"/>
                  <w:shd w:val="clear" w:fill="F2F2F2"/>
                </w:tcPr>
                <w:p>
                  <w:r>
                    <w:rPr>
                      <w:rFonts w:ascii="Times New Roman" w:hAnsi="Times New Roman" w:eastAsia="바탕"/>
                      <w:b/>
                      <w:sz w:val="18"/>
                    </w:rPr>
                    <w:t>What it needs</w:t>
                  </w:r>
                </w:p>
              </w:tc>
            </w:tr>
            <w:tr>
              <w:tc>
                <w:tcPr>
                  <w:tcW w:type="dxa" w:w="2429"/>
                </w:tcPr>
                <w:p>
                  <w:r>
                    <w:rPr>
                      <w:rFonts w:ascii="Times New Roman" w:hAnsi="Times New Roman" w:eastAsia="바탕"/>
                      <w:sz w:val="18"/>
                    </w:rPr>
                    <w:t>Web app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360</w:t>
                  </w:r>
                </w:p>
              </w:tc>
              <w:tc>
                <w:tcPr>
                  <w:tcW w:type="dxa" w:w="2429"/>
                </w:tcPr>
                <w:p>
                  <w:r>
                    <w:rPr>
                      <w:rFonts w:ascii="Times New Roman" w:hAnsi="Times New Roman" w:eastAsia="바탕"/>
                      <w:sz w:val="18"/>
                    </w:rPr>
                    <w:t>359 pass · 1 fail</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Paper form and cloud relay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pass · 3 skipped</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Device firmware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pass · 77 skipped</w:t>
                  </w:r>
                </w:p>
              </w:tc>
              <w:tc>
                <w:tcPr>
                  <w:tcW w:type="dxa" w:w="2429"/>
                </w:tcPr>
                <w:p>
                  <w:r>
                    <w:rPr>
                      <w:rFonts w:ascii="Times New Roman" w:hAnsi="Times New Roman" w:eastAsia="바탕"/>
                      <w:sz w:val="18"/>
                    </w:rPr>
                    <w:t>Python only</w:t>
                  </w:r>
                </w:p>
              </w:tc>
            </w:tr>
          </w:tbl>
          <w:p/>
          <w:p>
            <w:pPr>
              <w:spacing w:after="120"/>
            </w:pPr>
          </w:p>
          <w:p>
            <w:pPr>
              <w:spacing w:after="80" w:line="276" w:lineRule="auto"/>
              <w:jc w:val="both"/>
            </w:pPr>
            <w:r>
              <w:rPr>
                <w:rFonts w:ascii="Times New Roman" w:hAnsi="Times New Roman" w:eastAsia="바탕"/>
                <w:sz w:val="20"/>
              </w:rPr>
              <w:t>These are counts from running the suites on 3 August 2026, and the single web-app failure is set down as it stands.</w:t>
            </w:r>
          </w:p>
          <w:p>
            <w:pPr>
              <w:spacing w:after="80" w:line="276" w:lineRule="auto"/>
              <w:jc w:val="both"/>
            </w:pPr>
            <w:r>
              <w:rPr>
                <w:rFonts w:ascii="Times New Roman" w:hAnsi="Times New Roman" w:eastAsia="바탕"/>
                <w:sz w:val="20"/>
              </w:rPr>
              <w:t xml:space="preserve">What failed is </w:t>
            </w:r>
            <w:r>
              <w:rPr>
                <w:rFonts w:ascii="Consolas" w:hAnsi="Consolas" w:eastAsia="Consolas"/>
                <w:sz w:val="19"/>
              </w:rPr>
              <w:t>pill_dispenser/webapp_kit/tests/kit.test.ts</w:t>
            </w:r>
            <w:r>
              <w:rPr>
                <w:rFonts w:ascii="Times New Roman" w:hAnsi="Times New Roman" w:eastAsia="바탕"/>
                <w:sz w:val="20"/>
              </w:rPr>
              <w:t xml:space="preserve">, and the cause lies not in the test but in loading it. </w:t>
            </w:r>
            <w:r>
              <w:rPr>
                <w:rFonts w:ascii="Consolas" w:hAnsi="Consolas" w:eastAsia="Consolas"/>
                <w:sz w:val="19"/>
              </w:rPr>
              <w:t>relay.ts</w:t>
            </w:r>
            <w:r>
              <w:rPr>
                <w:rFonts w:ascii="Times New Roman" w:hAnsi="Times New Roman" w:eastAsia="바탕"/>
                <w:sz w:val="20"/>
              </w:rPr>
              <w:t xml:space="preserve"> uses a constructor parameter property (</w:t>
            </w:r>
            <w:r>
              <w:rPr>
                <w:rFonts w:ascii="Consolas" w:hAnsi="Consolas" w:eastAsia="Consolas"/>
                <w:sz w:val="19"/>
              </w:rPr>
              <w:t>constructor(readonly status: number)</w:t>
            </w:r>
            <w:r>
              <w:rPr>
                <w:rFonts w:ascii="Times New Roman" w:hAnsi="Times New Roman" w:eastAsia="바탕"/>
                <w:sz w:val="20"/>
              </w:rPr>
              <w:t xml:space="preserve">), and Node's type stripping removes types without emitting code, so it does not support that syntax. The import stops with </w:t>
            </w:r>
            <w:r>
              <w:rPr>
                <w:rFonts w:ascii="Consolas" w:hAnsi="Consolas" w:eastAsia="Consolas"/>
                <w:sz w:val="19"/>
              </w:rPr>
              <w:t>ERR_UNSUPPORTED_TYPESCRIPT_SYNTAX</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It is set down because something heavier than one failure rides along with it. Since the file never loads, </w:t>
            </w:r>
            <w:r>
              <w:rPr>
                <w:rFonts w:ascii="Times New Roman" w:hAnsi="Times New Roman" w:eastAsia="바탕"/>
                <w:b/>
                <w:sz w:val="20"/>
              </w:rPr>
              <w:t>not one</w:t>
            </w:r>
            <w:r>
              <w:rPr>
                <w:rFonts w:ascii="Times New Roman" w:hAnsi="Times New Roman" w:eastAsia="바탕"/>
                <w:sz w:val="20"/>
              </w:rPr>
              <w:t xml:space="preserve"> of the tests inside it runs. The 360 above does not count that file's tests, so what looks like a single failure is in fact an entire file going unmeasured. It is the same shape of failure as the eight display constants in §5.4: the tool showed green while what it was measuring was empty.</w:t>
            </w:r>
          </w:p>
          <w:p>
            <w:pPr>
              <w:spacing w:after="80" w:line="276" w:lineRule="auto"/>
              <w:jc w:val="both"/>
            </w:pPr>
            <w:r>
              <w:rPr>
                <w:rFonts w:ascii="Times New Roman" w:hAnsi="Times New Roman" w:eastAsia="바탕"/>
                <w:sz w:val="20"/>
              </w:rPr>
              <w:t>That the firmware suite was for a while not running at all is also set down. Eight screen constants disappeared in one commit, and since every test file goes through that module, all of them stopped at import. Restoring them revealed 35 failures, and those 35 went away when the screen was redesigned around a single panel. They were missed not for want of tests but because the tests were not running, which is to say that counting passes and checking that the tests actually run are two different jobs.</w:t>
            </w:r>
          </w:p>
          <w:p>
            <w:pPr>
              <w:spacing w:after="80" w:line="276" w:lineRule="auto"/>
              <w:jc w:val="both"/>
            </w:pPr>
            <w:r>
              <w:rPr>
                <w:rFonts w:ascii="Times New Roman" w:hAnsi="Times New Roman" w:eastAsia="바탕"/>
                <w:sz w:val="20"/>
              </w:rPr>
              <w:t xml:space="preserve">The "needs" column was measured and corrected. The web app was recorded as "Node only" for a while; with the dependencies removed the count falls from 360 to 335, because three files stop at an import of </w:t>
            </w:r>
            <w:r>
              <w:rPr>
                <w:rFonts w:ascii="Consolas" w:hAnsi="Consolas" w:eastAsia="Consolas"/>
                <w:sz w:val="19"/>
              </w:rPr>
              <w:t>zustand</w:t>
            </w:r>
            <w:r>
              <w:rPr>
                <w:rFonts w:ascii="Times New Roman" w:hAnsi="Times New Roman" w:eastAsia="바탕"/>
                <w:sz w:val="20"/>
              </w:rPr>
              <w:t>. Twenty-five tests disappear quietly and the rest finish green, so from the outside it looks like a pass. It is the same shape as what §5.4 records.</w:t>
            </w:r>
          </w:p>
          <w:p>
            <w:pPr>
              <w:spacing w:after="80" w:line="276" w:lineRule="auto"/>
              <w:jc w:val="both"/>
            </w:pPr>
            <w:r>
              <w:rPr>
                <w:rFonts w:ascii="Times New Roman" w:hAnsi="Times New Roman" w:eastAsia="바탕"/>
                <w:sz w:val="20"/>
              </w:rPr>
              <w:t xml:space="preserve">All three run without the hardware. No servo, no Raspberry Pi and no network is needed. Making code that runs on a device you cannot attach a debugger to verifiable by anyone in a few seconds is the purpose of this arrangement, and bringing the whole firmware up on a laptop with </w:t>
            </w:r>
            <w:r>
              <w:rPr>
                <w:rFonts w:ascii="Consolas" w:hAnsi="Consolas" w:eastAsia="Consolas"/>
                <w:sz w:val="19"/>
              </w:rPr>
              <w:t>make run</w:t>
            </w:r>
            <w:r>
              <w:rPr>
                <w:rFonts w:ascii="Times New Roman" w:hAnsi="Times New Roman" w:eastAsia="바탕"/>
                <w:sz w:val="20"/>
              </w:rPr>
              <w:t xml:space="preserve"> (Figure 23, right) comes from the same principle.</w:t>
            </w:r>
          </w:p>
          <w:p>
            <w:pPr>
              <w:spacing w:after="80" w:line="276" w:lineRule="auto"/>
              <w:jc w:val="both"/>
            </w:pPr>
            <w:r>
              <w:rPr>
                <w:rFonts w:ascii="Times New Roman" w:hAnsi="Times New Roman" w:eastAsia="바탕"/>
                <w:sz w:val="20"/>
              </w:rPr>
              <w:t>Roles were divided as follows. Yunsu Nam took the web app and the SIGIL and VOCA engines, Dohun Kim took the hardware firmware, the paper form reading and the nutrition estimation model, and the Moldovan team took 3D printing, mechanical design and screen design. Over 17 days 320 commits accumulated.</w:t>
            </w:r>
          </w:p>
          <w:p>
            <w:pPr>
              <w:spacing w:after="80" w:line="276" w:lineRule="auto"/>
              <w:jc w:val="both"/>
            </w:pPr>
            <w:r>
              <w:rPr>
                <w:rFonts w:ascii="Times New Roman" w:hAnsi="Times New Roman" w:eastAsia="바탕"/>
                <w:sz w:val="20"/>
              </w:rPr>
              <w:t xml:space="preserve">There is a condition attached here as well. This project used AI coding tools throughout development, and we do not hide it. Nowhere was what a tool produced left as it stood. The defects recorded in this document were all found by a person checking again. Of the 37 citations checked in the first pass, 12 differed from their sources (what was wrong in each is kept case by case in </w:t>
            </w:r>
            <w:r>
              <w:rPr>
                <w:rFonts w:ascii="Consolas" w:hAnsi="Consolas" w:eastAsia="Consolas"/>
                <w:sz w:val="19"/>
              </w:rPr>
              <w:t>citations.md</w:t>
            </w:r>
            <w:r>
              <w:rPr>
                <w:rFonts w:ascii="Times New Roman" w:hAnsi="Times New Roman" w:eastAsia="바탕"/>
                <w:sz w:val="20"/>
              </w:rPr>
              <w:t xml:space="preserve"> in the repository); the morpheme checker passed four rings as "four" (§5.2); and the sample prescriptions carried five clinical errors (§5.7). What this repository sets out to show is not that tools were used but how the results were verified.</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Formative evaluation: whether the information arrives</w:t>
            </w:r>
          </w:p>
          <w:p>
            <w:pPr>
              <w:spacing w:after="80" w:line="276" w:lineRule="auto"/>
              <w:jc w:val="both"/>
            </w:pPr>
            <w:r>
              <w:rPr>
                <w:rFonts w:ascii="Times New Roman" w:hAnsi="Times New Roman" w:eastAsia="바탕"/>
                <w:sz w:val="20"/>
              </w:rPr>
              <w:t>The first thing to ask once the app was built was whether the necessary information actually reaches the screen.</w:t>
            </w:r>
          </w:p>
          <w:p>
            <w:pPr>
              <w:spacing w:after="80" w:line="276" w:lineRule="auto"/>
              <w:jc w:val="both"/>
            </w:pPr>
            <w:r>
              <w:rPr>
                <w:rFonts w:ascii="Times New Roman" w:hAnsi="Times New Roman" w:eastAsia="바탕"/>
                <w:sz w:val="20"/>
              </w:rPr>
              <w:t>To measure this reproducibly, 28 runs were constructed from four sample prescriptions crossed with seven user conditions, and the output of each run was scored on six items. Scoring is done by matching rules against the strings and speech targets actually present on the screen rather than by human judgement. It is therefore reproducible, and if a scoring rule is wrong the rule can be corrected and the whole thing rerun.</w:t>
            </w:r>
          </w:p>
          <w:p>
            <w:pPr>
              <w:spacing w:after="80" w:line="276" w:lineRule="auto"/>
              <w:jc w:val="both"/>
            </w:pPr>
            <w:r>
              <w:rPr>
                <w:rFonts w:ascii="Times New Roman" w:hAnsi="Times New Roman" w:eastAsia="바탕"/>
                <w:sz w:val="20"/>
              </w:rPr>
              <w:t>The record left by one run looks like this.</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item identified": true,  "D2 dose per intake": true,  "D3 times per day": true,</w:t>
              <w:br/>
              <w:t xml:space="preserve">    "D4 timing and context": true,  "D5 storage": true,  "D6 contraindication": true</w:t>
              <w:br/>
              <w:t xml:space="preserve">  },</w:t>
              <w:br/>
              <w:t xml:space="preserve">  "all6": true</w:t>
              <w:br/>
              <w:t>}</w:t>
            </w:r>
          </w:p>
          <w:p>
            <w:pPr>
              <w:spacing w:after="80" w:line="276" w:lineRule="auto"/>
              <w:jc w:val="both"/>
            </w:pPr>
            <w:r>
              <w:rPr>
                <w:rFonts w:ascii="Times New Roman" w:hAnsi="Times New Roman" w:eastAsia="바탕"/>
                <w:sz w:val="20"/>
              </w:rPr>
              <w:t>Design intent. The scoring result is not reduced to a single true or false but kept per item. Keeping only the figure "27/28" leaves no way of knowing what failed and why, and no way of knowing what to fix next. Which item the single failure reported in §5.1 was (</w:t>
            </w:r>
            <w:r>
              <w:rPr>
                <w:rFonts w:ascii="Consolas" w:hAnsi="Consolas" w:eastAsia="Consolas"/>
                <w:sz w:val="19"/>
              </w:rPr>
              <w:t>D5</w:t>
            </w:r>
            <w:r>
              <w:rPr>
                <w:rFonts w:ascii="Times New Roman" w:hAnsi="Times New Roman" w:eastAsia="바탕"/>
                <w:sz w:val="20"/>
              </w:rPr>
              <w:t>) and under which condition (</w:t>
            </w:r>
            <w:r>
              <w:rPr>
                <w:rFonts w:ascii="Consolas" w:hAnsi="Consolas" w:eastAsia="Consolas"/>
                <w:sz w:val="19"/>
              </w:rPr>
              <w:t>member: none</w:t>
            </w:r>
            <w:r>
              <w:rPr>
                <w:rFonts w:ascii="Times New Roman" w:hAnsi="Times New Roman" w:eastAsia="바탕"/>
                <w:sz w:val="20"/>
              </w:rPr>
              <w:t>) were read directly from this record.</w:t>
            </w:r>
          </w:p>
          <w:p>
            <w:pPr>
              <w:spacing w:after="80" w:line="276" w:lineRule="auto"/>
              <w:jc w:val="both"/>
            </w:pPr>
            <w:r>
              <w:rPr>
                <w:rFonts w:ascii="Times New Roman" w:hAnsi="Times New Roman" w:eastAsia="바탕"/>
                <w:sz w:val="20"/>
              </w:rPr>
              <w:t xml:space="preserve">Counting </w:t>
            </w:r>
            <w:r>
              <w:rPr>
                <w:rFonts w:ascii="Consolas" w:hAnsi="Consolas" w:eastAsia="Consolas"/>
                <w:sz w:val="19"/>
              </w:rPr>
              <w:t>glyphs</w:t>
            </w:r>
            <w:r>
              <w:rPr>
                <w:rFonts w:ascii="Times New Roman" w:hAnsi="Times New Roman" w:eastAsia="바탕"/>
                <w:sz w:val="20"/>
              </w:rPr>
              <w:t xml:space="preserve"> alongside has a reason too. All six items can be true while not a single picture appears. That is the state where delivery happens only through sentences and speech and the pictogram route is dead. Eight of the 28 runs before the fix were exactly that, and had we been watching only the item scores those eight would have passed as "partially successful."</w:t>
            </w:r>
          </w:p>
          <w:p>
            <w:pPr>
              <w:spacing w:after="80" w:line="276" w:lineRule="auto"/>
              <w:jc w:val="both"/>
            </w:pPr>
            <w:r>
              <w:rPr>
                <w:rFonts w:ascii="Times New Roman" w:hAnsi="Times New Roman" w:eastAsia="바탕"/>
                <w:sz w:val="20"/>
              </w:rPr>
              <w:t>[Table 30] Scoring items in the formative evaluation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What it confirms</w:t>
                  </w:r>
                </w:p>
              </w:tc>
            </w:tr>
            <w:tr>
              <w:tc>
                <w:tcPr>
                  <w:tcW w:type="dxa" w:w="4857"/>
                </w:tcPr>
                <w:p>
                  <w:r>
                    <w:rPr>
                      <w:rFonts w:ascii="Times New Roman" w:hAnsi="Times New Roman" w:eastAsia="바탕"/>
                      <w:sz w:val="18"/>
                    </w:rPr>
                    <w:t>D1 item identified</w:t>
                  </w:r>
                </w:p>
              </w:tc>
              <w:tc>
                <w:tcPr>
                  <w:tcW w:type="dxa" w:w="4857"/>
                </w:tcPr>
                <w:p>
                  <w:r>
                    <w:rPr>
                      <w:rFonts w:ascii="Times New Roman" w:hAnsi="Times New Roman" w:eastAsia="바탕"/>
                      <w:sz w:val="18"/>
                    </w:rPr>
                    <w:t>Is what was photographed conveyed</w:t>
                  </w:r>
                </w:p>
              </w:tc>
            </w:tr>
            <w:tr>
              <w:tc>
                <w:tcPr>
                  <w:tcW w:type="dxa" w:w="4857"/>
                </w:tcPr>
                <w:p>
                  <w:r>
                    <w:rPr>
                      <w:rFonts w:ascii="Times New Roman" w:hAnsi="Times New Roman" w:eastAsia="바탕"/>
                      <w:sz w:val="18"/>
                    </w:rPr>
                    <w:t>D2 dose per intake</w:t>
                  </w:r>
                </w:p>
              </w:tc>
              <w:tc>
                <w:tcPr>
                  <w:tcW w:type="dxa" w:w="4857"/>
                </w:tcPr>
                <w:p>
                  <w:r>
                    <w:rPr>
                      <w:rFonts w:ascii="Times New Roman" w:hAnsi="Times New Roman" w:eastAsia="바탕"/>
                      <w:sz w:val="18"/>
                    </w:rPr>
                    <w:t>Is the number of tablets or millilitres present somewhere</w:t>
                  </w:r>
                </w:p>
              </w:tc>
            </w:tr>
            <w:tr>
              <w:tc>
                <w:tcPr>
                  <w:tcW w:type="dxa" w:w="4857"/>
                </w:tcPr>
                <w:p>
                  <w:r>
                    <w:rPr>
                      <w:rFonts w:ascii="Times New Roman" w:hAnsi="Times New Roman" w:eastAsia="바탕"/>
                      <w:sz w:val="18"/>
                    </w:rPr>
                    <w:t>D3 times per day</w:t>
                  </w:r>
                </w:p>
              </w:tc>
              <w:tc>
                <w:tcPr>
                  <w:tcW w:type="dxa" w:w="4857"/>
                </w:tcPr>
                <w:p>
                  <w:r>
                    <w:rPr>
                      <w:rFonts w:ascii="Times New Roman" w:hAnsi="Times New Roman" w:eastAsia="바탕"/>
                      <w:sz w:val="18"/>
                    </w:rPr>
                    <w:t>Is how many times a day stated</w:t>
                  </w:r>
                </w:p>
              </w:tc>
            </w:tr>
            <w:tr>
              <w:tc>
                <w:tcPr>
                  <w:tcW w:type="dxa" w:w="4857"/>
                </w:tcPr>
                <w:p>
                  <w:r>
                    <w:rPr>
                      <w:rFonts w:ascii="Times New Roman" w:hAnsi="Times New Roman" w:eastAsia="바탕"/>
                      <w:sz w:val="18"/>
                    </w:rPr>
                    <w:t>D4 timing and context</w:t>
                  </w:r>
                </w:p>
              </w:tc>
              <w:tc>
                <w:tcPr>
                  <w:tcW w:type="dxa" w:w="4857"/>
                </w:tcPr>
                <w:p>
                  <w:r>
                    <w:rPr>
                      <w:rFonts w:ascii="Times New Roman" w:hAnsi="Times New Roman" w:eastAsia="바탕"/>
                      <w:sz w:val="18"/>
                    </w:rPr>
                    <w:t>Does the number of listed times match the frequency, and is the mealtime context conveyed</w:t>
                  </w:r>
                </w:p>
              </w:tc>
            </w:tr>
            <w:tr>
              <w:tc>
                <w:tcPr>
                  <w:tcW w:type="dxa" w:w="4857"/>
                </w:tcPr>
                <w:p>
                  <w:r>
                    <w:rPr>
                      <w:rFonts w:ascii="Times New Roman" w:hAnsi="Times New Roman" w:eastAsia="바탕"/>
                      <w:sz w:val="18"/>
                    </w:rPr>
                    <w:t>D5 storage</w:t>
                  </w:r>
                </w:p>
              </w:tc>
              <w:tc>
                <w:tcPr>
                  <w:tcW w:type="dxa" w:w="4857"/>
                </w:tcPr>
                <w:p>
                  <w:r>
                    <w:rPr>
                      <w:rFonts w:ascii="Times New Roman" w:hAnsi="Times New Roman" w:eastAsia="바탕"/>
                      <w:sz w:val="18"/>
                    </w:rPr>
                    <w:t>When refrigeration is needed, is that conveyed</w:t>
                  </w:r>
                </w:p>
              </w:tc>
            </w:tr>
            <w:tr>
              <w:tc>
                <w:tcPr>
                  <w:tcW w:type="dxa" w:w="4857"/>
                </w:tcPr>
                <w:p>
                  <w:r>
                    <w:rPr>
                      <w:rFonts w:ascii="Times New Roman" w:hAnsi="Times New Roman" w:eastAsia="바탕"/>
                      <w:sz w:val="18"/>
                    </w:rPr>
                    <w:t>D6 contraindication</w:t>
                  </w:r>
                </w:p>
              </w:tc>
              <w:tc>
                <w:tcPr>
                  <w:tcW w:type="dxa" w:w="4857"/>
                </w:tcPr>
                <w:p>
                  <w:r>
                    <w:rPr>
                      <w:rFonts w:ascii="Times New Roman" w:hAnsi="Times New Roman" w:eastAsia="바탕"/>
                      <w:sz w:val="18"/>
                    </w:rPr>
                    <w:t>Does it appear when something must be avoided, and stay absent when it need not</w:t>
                  </w:r>
                </w:p>
              </w:tc>
            </w:tr>
          </w:tbl>
          <w:p/>
          <w:p>
            <w:pPr>
              <w:spacing w:after="120"/>
            </w:pPr>
          </w:p>
          <w:p>
            <w:pPr>
              <w:spacing w:after="80" w:line="276" w:lineRule="auto"/>
              <w:jc w:val="both"/>
            </w:pPr>
            <w:r>
              <w:rPr>
                <w:rFonts w:ascii="Times New Roman" w:hAnsi="Times New Roman" w:eastAsia="바탕"/>
                <w:sz w:val="20"/>
              </w:rPr>
              <w:t xml:space="preserve">In the initial measurement, </w:t>
            </w:r>
            <w:r>
              <w:rPr>
                <w:rFonts w:ascii="Times New Roman" w:hAnsi="Times New Roman" w:eastAsia="바탕"/>
                <w:b/>
                <w:sz w:val="20"/>
              </w:rPr>
              <w:t>0 of 28 runs satisfied all six items</w:t>
            </w:r>
            <w:r>
              <w:rPr>
                <w:rFonts w:ascii="Times New Roman" w:hAnsi="Times New Roman" w:eastAsia="바탕"/>
                <w:sz w:val="20"/>
              </w:rPr>
              <w:t>. The cause was a missing connection rather than a defect in any individual feature. Dose and storage information reached the pictograms from OCR but not the speech and the sentences, pregnancy contraindications were not passed to the verdict engine, and with the pictogram cache empty not a single picture appeared on the verdict screen.</w:t>
            </w:r>
          </w:p>
          <w:p>
            <w:pPr>
              <w:spacing w:after="80" w:line="276" w:lineRule="auto"/>
              <w:jc w:val="both"/>
            </w:pPr>
            <w:r>
              <w:rPr>
                <w:rFonts w:ascii="Times New Roman" w:hAnsi="Times New Roman" w:eastAsia="바탕"/>
                <w:sz w:val="20"/>
              </w:rPr>
              <w:t xml:space="preserve">After fixing this and rerunning the same 28, </w:t>
            </w:r>
            <w:r>
              <w:rPr>
                <w:rFonts w:ascii="Times New Roman" w:hAnsi="Times New Roman" w:eastAsia="바탕"/>
                <w:b/>
                <w:sz w:val="20"/>
              </w:rPr>
              <w:t>27 satisfied all six items.</w:t>
            </w:r>
          </w:p>
          <w:p>
            <w:pPr>
              <w:spacing w:after="80" w:line="276" w:lineRule="auto"/>
              <w:jc w:val="both"/>
            </w:pPr>
            <w:r>
              <w:rPr>
                <w:rFonts w:ascii="Times New Roman" w:hAnsi="Times New Roman" w:eastAsia="바탕"/>
                <w:sz w:val="20"/>
              </w:rPr>
              <w:t>We state what the one that did not was. In the run where a user with no registered conditions photographed a cereal, D5 (alternative suggestion) did not appear. It appeared in all three remaining runs where the same cereal was photographed by users with peanut, gluten and blood thinner conditions.</w:t>
            </w:r>
          </w:p>
          <w:p>
            <w:pPr>
              <w:spacing w:after="80" w:line="276" w:lineRule="auto"/>
              <w:jc w:val="both"/>
            </w:pPr>
            <w:r>
              <w:rPr>
                <w:rFonts w:ascii="Times New Roman" w:hAnsi="Times New Roman" w:eastAsia="바탕"/>
                <w:sz w:val="20"/>
              </w:rPr>
              <w:t>This was not fixed as a defect. The alternative suggestion is derived from the reason for avoidance, as described in §2.7, and for a user with no reason to avoid anything there is nothing to derive from. Telling someone with no conditions to "choose that instead of this" would require inventing the grounds, and that is something this app has decided not to do. This one case is therefore the result of applying the scoring items uniformly across all runs rather than a feature failing to work. Splitting the scoresheet by condition would make it 28/28, but under the principle of not adjusting scoring criteria to fit results it is left as it is.</w:t>
            </w:r>
          </w:p>
          <w:p>
            <w:pPr>
              <w:spacing w:after="80" w:line="276" w:lineRule="auto"/>
              <w:jc w:val="both"/>
            </w:pPr>
            <w:r>
              <w:rPr>
                <w:rFonts w:ascii="Times New Roman" w:hAnsi="Times New Roman" w:eastAsia="바탕"/>
                <w:sz w:val="20"/>
              </w:rPr>
              <w:t>[Table 31] Formative evaluation results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Before fix</w:t>
                  </w:r>
                </w:p>
              </w:tc>
              <w:tc>
                <w:tcPr>
                  <w:tcW w:type="dxa" w:w="3238"/>
                  <w:shd w:val="clear" w:fill="F2F2F2"/>
                </w:tcPr>
                <w:p>
                  <w:r>
                    <w:rPr>
                      <w:rFonts w:ascii="Times New Roman" w:hAnsi="Times New Roman" w:eastAsia="바탕"/>
                      <w:b/>
                      <w:sz w:val="18"/>
                    </w:rPr>
                    <w:t>After fix</w:t>
                  </w:r>
                </w:p>
              </w:tc>
            </w:tr>
            <w:tr>
              <w:tc>
                <w:tcPr>
                  <w:tcW w:type="dxa" w:w="3238"/>
                </w:tcPr>
                <w:p>
                  <w:r>
                    <w:rPr>
                      <w:rFonts w:ascii="Times New Roman" w:hAnsi="Times New Roman" w:eastAsia="바탕"/>
                      <w:sz w:val="18"/>
                    </w:rPr>
                    <w:t>All six items satisfied</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Runs ending with zero pictograms</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It should be made clear that what this evaluation measured is the arrival of information rather than human understanding. The latter has to be asked of people and lies outside the scope of this evaluation.</w:t>
            </w:r>
          </w:p>
          <w:p>
            <w:pPr>
              <w:spacing w:before="160" w:after="60"/>
              <w:jc w:val="center"/>
            </w:pPr>
            <w:r>
              <w:drawing>
                <wp:inline xmlns:a="http://schemas.openxmlformats.org/drawingml/2006/main" xmlns:pic="http://schemas.openxmlformats.org/drawingml/2006/picture">
                  <wp:extent cx="5486400" cy="2560320"/>
                  <wp:docPr id="36" name="Picture 36"/>
                  <wp:cNvGraphicFramePr>
                    <a:graphicFrameLocks noChangeAspect="1"/>
                  </wp:cNvGraphicFramePr>
                  <a:graphic>
                    <a:graphicData uri="http://schemas.openxmlformats.org/drawingml/2006/picture">
                      <pic:pic>
                        <pic:nvPicPr>
                          <pic:cNvPr id="0" name="chart06_formative.png"/>
                          <pic:cNvPicPr/>
                        </pic:nvPicPr>
                        <pic:blipFill>
                          <a:blip r:embed="rId53"/>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36]</w:t>
            </w:r>
            <w:r>
              <w:rPr>
                <w:rFonts w:ascii="Times New Roman" w:hAnsi="Times New Roman" w:eastAsia="바탕"/>
                <w:color w:val="606068"/>
                <w:sz w:val="18"/>
              </w:rPr>
              <w:t xml:space="preserve"> Formative evaluation before and after the fix (n = 28). The left pair is the number of runs satisfying all six items, the right pair the number of runs ending without a single pictogram appearing. More than 0 becoming 27, </w:t>
            </w:r>
            <w:r>
              <w:rPr>
                <w:rFonts w:ascii="Times New Roman" w:hAnsi="Times New Roman" w:eastAsia="바탕"/>
                <w:b/>
                <w:color w:val="606068"/>
                <w:sz w:val="18"/>
              </w:rPr>
              <w:t>the move from 8 to 0 on zero pictograms</w:t>
            </w:r>
            <w:r>
              <w:rPr>
                <w:rFonts w:ascii="Times New Roman" w:hAnsi="Times New Roman" w:eastAsia="바탕"/>
                <w:color w:val="606068"/>
                <w:sz w:val="18"/>
              </w:rPr>
              <w:t xml:space="preserve"> is what this evaluation yielded. Those eight arose from an empty cache rather than a missing feature, and without measuring we would have discovered them first during the demonstration.</w:t>
            </w:r>
          </w:p>
          <w:p>
            <w:pPr>
              <w:spacing w:before="180" w:after="40"/>
            </w:pPr>
            <w:r>
              <w:rPr>
                <w:rFonts w:ascii="Times New Roman" w:hAnsi="Times New Roman" w:eastAsia="바탕"/>
                <w:b/>
                <w:sz w:val="23"/>
              </w:rPr>
              <w:t>5.2 A procedure for verifying pictogram comprehension</w:t>
            </w:r>
          </w:p>
          <w:p>
            <w:pPr>
              <w:spacing w:after="80" w:line="276" w:lineRule="auto"/>
              <w:jc w:val="both"/>
            </w:pPr>
            <w:r>
              <w:rPr>
                <w:rFonts w:ascii="Times New Roman" w:hAnsi="Times New Roman" w:eastAsia="바탕"/>
                <w:sz w:val="20"/>
              </w:rPr>
              <w:t xml:space="preserve">As established in §1.8, making a pictogram does not mean it will be read. Of 108 international standard pictograms, only 17 passed the ANSI 85%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Comprehension testing requires assembling people, however, so it is expensive and hard to repeat. As a result most pictogram sets are evaluated after they are built, and by the time a problem is found they have already been released.</w:t>
            </w:r>
          </w:p>
          <w:p>
            <w:pPr>
              <w:spacing w:after="80" w:line="276" w:lineRule="auto"/>
              <w:jc w:val="both"/>
            </w:pPr>
            <w:r>
              <w:rPr>
                <w:rFonts w:ascii="Times New Roman" w:hAnsi="Times New Roman" w:eastAsia="바탕"/>
                <w:sz w:val="20"/>
              </w:rPr>
              <w:t>This work designed a procedure that inverts that order. Two gates are placed on each pictogram.</w:t>
            </w:r>
          </w:p>
          <w:p>
            <w:pPr>
              <w:spacing w:after="80" w:line="276" w:lineRule="auto"/>
              <w:jc w:val="both"/>
            </w:pPr>
            <w:r>
              <w:rPr>
                <w:rFonts w:ascii="Times New Roman" w:hAnsi="Times New Roman" w:eastAsia="바탕"/>
                <w:sz w:val="20"/>
              </w:rPr>
              <w:t>[Table 32] The two gates of pictogram verification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Gate</w:t>
                  </w:r>
                </w:p>
              </w:tc>
              <w:tc>
                <w:tcPr>
                  <w:tcW w:type="dxa" w:w="3238"/>
                  <w:shd w:val="clear" w:fill="F2F2F2"/>
                </w:tcPr>
                <w:p>
                  <w:r>
                    <w:rPr>
                      <w:rFonts w:ascii="Times New Roman" w:hAnsi="Times New Roman" w:eastAsia="바탕"/>
                      <w:b/>
                      <w:sz w:val="18"/>
                    </w:rPr>
                    <w:t>What it judges</w:t>
                  </w:r>
                </w:p>
              </w:tc>
              <w:tc>
                <w:tcPr>
                  <w:tcW w:type="dxa" w:w="3238"/>
                  <w:shd w:val="clear" w:fill="F2F2F2"/>
                </w:tcPr>
                <w:p>
                  <w:r>
                    <w:rPr>
                      <w:rFonts w:ascii="Times New Roman" w:hAnsi="Times New Roman" w:eastAsia="바탕"/>
                      <w:b/>
                      <w:sz w:val="18"/>
                    </w:rPr>
                    <w:t>Method</w:t>
                  </w:r>
                </w:p>
              </w:tc>
            </w:tr>
            <w:tr>
              <w:tc>
                <w:tcPr>
                  <w:tcW w:type="dxa" w:w="3238"/>
                </w:tcPr>
                <w:p>
                  <w:r>
                    <w:rPr>
                      <w:rFonts w:ascii="Times New Roman" w:hAnsi="Times New Roman" w:eastAsia="바탕"/>
                      <w:sz w:val="18"/>
                    </w:rPr>
                    <w:t>1. Mechanical check</w:t>
                  </w:r>
                </w:p>
              </w:tc>
              <w:tc>
                <w:tcPr>
                  <w:tcW w:type="dxa" w:w="3238"/>
                </w:tcPr>
                <w:p>
                  <w:r>
                    <w:rPr>
                      <w:rFonts w:ascii="Times New Roman" w:hAnsi="Times New Roman" w:eastAsia="바탕"/>
                      <w:sz w:val="18"/>
                    </w:rPr>
                    <w:t>Does the form survive being shrunk</w:t>
                  </w:r>
                </w:p>
              </w:tc>
              <w:tc>
                <w:tcPr>
                  <w:tcW w:type="dxa" w:w="3238"/>
                </w:tcPr>
                <w:p>
                  <w:r>
                    <w:rPr>
                      <w:rFonts w:ascii="Times New Roman" w:hAnsi="Times New Roman" w:eastAsia="바탕"/>
                      <w:sz w:val="18"/>
                    </w:rPr>
                    <w:t>Ink ratio, survival of interior holes at 32px, number of separate blobs</w:t>
                  </w:r>
                </w:p>
              </w:tc>
            </w:tr>
            <w:tr>
              <w:tc>
                <w:tcPr>
                  <w:tcW w:type="dxa" w:w="3238"/>
                </w:tcPr>
                <w:p>
                  <w:r>
                    <w:rPr>
                      <w:rFonts w:ascii="Times New Roman" w:hAnsi="Times New Roman" w:eastAsia="바탕"/>
                      <w:sz w:val="18"/>
                    </w:rPr>
                    <w:t>2. Semantic check</w:t>
                  </w:r>
                </w:p>
              </w:tc>
              <w:tc>
                <w:tcPr>
                  <w:tcW w:type="dxa" w:w="3238"/>
                </w:tcPr>
                <w:p>
                  <w:r>
                    <w:rPr>
                      <w:rFonts w:ascii="Times New Roman" w:hAnsi="Times New Roman" w:eastAsia="바탕"/>
                      <w:sz w:val="18"/>
                    </w:rPr>
                    <w:t>Is it read as intended</w:t>
                  </w:r>
                </w:p>
              </w:tc>
              <w:tc>
                <w:tcPr>
                  <w:tcW w:type="dxa" w:w="3238"/>
                </w:tcPr>
                <w:p>
                  <w:r>
                    <w:rPr>
                      <w:rFonts w:ascii="Times New Roman" w:hAnsi="Times New Roman" w:eastAsia="바탕"/>
                      <w:sz w:val="18"/>
                    </w:rPr>
                    <w:t xml:space="preserve">The picture is shown and </w:t>
                  </w:r>
                  <w:r>
                    <w:rPr>
                      <w:rFonts w:ascii="Times New Roman" w:hAnsi="Times New Roman" w:eastAsia="바탕"/>
                      <w:b/>
                      <w:sz w:val="18"/>
                    </w:rPr>
                    <w:t>"what does this look like"</w:t>
                  </w:r>
                  <w:r>
                    <w:rPr>
                      <w:rFonts w:ascii="Times New Roman" w:hAnsi="Times New Roman" w:eastAsia="바탕"/>
                      <w:sz w:val="18"/>
                    </w:rPr>
                    <w:t xml:space="preserve"> asked as an open question</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fig18_pictogram_gate.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37]</w:t>
            </w:r>
            <w:r>
              <w:rPr>
                <w:rFonts w:ascii="Times New Roman" w:hAnsi="Times New Roman" w:eastAsia="바탕"/>
                <w:color w:val="606068"/>
                <w:sz w:val="18"/>
              </w:rPr>
              <w:t xml:space="preserve"> The two gates a morpheme passes on its way to release, and the ladder it climbs when it fails. The ladder is keyed to the reason for failure rather than to the number of attempts.</w:t>
            </w:r>
          </w:p>
          <w:p>
            <w:pPr>
              <w:spacing w:after="80" w:line="276" w:lineRule="auto"/>
              <w:jc w:val="both"/>
            </w:pPr>
            <w:r>
              <w:rPr>
                <w:rFonts w:ascii="Times New Roman" w:hAnsi="Times New Roman" w:eastAsia="바탕"/>
                <w:sz w:val="20"/>
              </w:rPr>
              <w:t>The form of the question at the second gate matters. Asking "is this a peanut" mostly gets a yes. No options are therefore given and a description is requested, and whether the answer matches the intent is judged separately. This is the same reason the ISO 9186 comprehension test presents no options.</w:t>
            </w:r>
          </w:p>
          <w:p>
            <w:pPr>
              <w:spacing w:after="80" w:line="276" w:lineRule="auto"/>
              <w:jc w:val="both"/>
            </w:pPr>
            <w:r>
              <w:rPr>
                <w:rFonts w:ascii="Times New Roman" w:hAnsi="Times New Roman" w:eastAsia="바탕"/>
                <w:sz w:val="20"/>
              </w:rPr>
              <w:t>Whether this procedure is justified we asked directly in §5.7. Both respondents in the HCI and design segment answered "justified with conditions attached", and each wrote a different condition.</w:t>
            </w:r>
          </w:p>
          <w:p>
            <w:pPr>
              <w:spacing w:after="40" w:line="276" w:lineRule="auto"/>
              <w:ind w:left="403"/>
            </w:pPr>
            <w:r>
              <w:rPr>
                <w:rFonts w:ascii="Times New Roman" w:hAnsi="Times New Roman" w:eastAsia="바탕"/>
                <w:i/>
                <w:color w:val="606068"/>
                <w:sz w:val="19"/>
              </w:rPr>
              <w:t>"For pre-screening rather than as a final conclusion, I think it can be used freely. Since it will ultimately be used with people, all that is needed is the resolve to discard the pre-screening result if testing with actual people shows it does not apply."</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40" w:line="276" w:lineRule="auto"/>
              <w:ind w:left="403"/>
            </w:pPr>
            <w:r>
              <w:rPr>
                <w:rFonts w:ascii="Times New Roman" w:hAnsi="Times New Roman" w:eastAsia="바탕"/>
                <w:i/>
                <w:color w:val="606068"/>
                <w:sz w:val="19"/>
              </w:rPr>
              <w:t>"If, in the process of screening information with a vision-language model, the researcher sets and understands the screening criteria clearly and those criteria can be shown valid on theoretical grounds, procedural justification can be secured."</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two conditions differ. The first asks whether the result can be thrown away; the second asks whether the criteria stand in advance. The second is answered to a degree by this section writing the criteria of both gates down beforehand, but the first cannot be answered because it has not been tested. If the field evaluation of §5.10 produces morphemes where the machine verdict and people's answers diverge, that is when this condition is tested. Being able to discard the machine's side at that point is what makes the procedure justified.</w:t>
            </w:r>
          </w:p>
          <w:p>
            <w:pPr>
              <w:spacing w:after="80" w:line="276" w:lineRule="auto"/>
              <w:jc w:val="both"/>
            </w:pPr>
            <w:r>
              <w:rPr>
                <w:rFonts w:ascii="Times New Roman" w:hAnsi="Times New Roman" w:eastAsia="바탕"/>
                <w:sz w:val="20"/>
              </w:rPr>
              <w:t>The 512px original and the 32px reduction are also shown together, with the answer given against the reduction, because the reduction is the size actually seen in a list.</w:t>
            </w:r>
          </w:p>
          <w:p>
            <w:pPr>
              <w:spacing w:before="120" w:after="20"/>
            </w:pPr>
            <w:r>
              <w:rPr>
                <w:rFonts w:ascii="Times New Roman" w:hAnsi="Times New Roman" w:eastAsia="바탕"/>
                <w:b/>
                <w:sz w:val="21"/>
              </w:rPr>
              <w:t>5.2.1 The retry strategy</w:t>
            </w:r>
          </w:p>
          <w:p>
            <w:pPr>
              <w:spacing w:after="80" w:line="276" w:lineRule="auto"/>
              <w:jc w:val="both"/>
            </w:pPr>
            <w:r>
              <w:rPr>
                <w:rFonts w:ascii="Times New Roman" w:hAnsi="Times New Roman" w:eastAsia="바탕"/>
                <w:sz w:val="20"/>
              </w:rPr>
              <w:t>Placing gates is only half of it. Pictures that fail have to be remade, and the retries have to converge.</w:t>
            </w:r>
          </w:p>
          <w:p>
            <w:pPr>
              <w:spacing w:after="80" w:line="276" w:lineRule="auto"/>
              <w:jc w:val="both"/>
            </w:pPr>
            <w:r>
              <w:rPr>
                <w:rFonts w:ascii="Times New Roman" w:hAnsi="Times New Roman" w:eastAsia="바탕"/>
                <w:sz w:val="20"/>
              </w:rPr>
              <w:t xml:space="preserve">At first a fixed ladder of instructions was climbed according to the attempt count: fail the first attempt and instruction 1 is added, fail the second and instruction 2 is added. The second rung of that ladder was "draw the form heavier," and giving that instruction to a picture that failed for being too clotted pushes it further in the direction that failed. That is why the ink ratio of </w:t>
            </w:r>
            <w:r>
              <w:rPr>
                <w:rFonts w:ascii="Consolas" w:hAnsi="Consolas" w:eastAsia="Consolas"/>
                <w:sz w:val="19"/>
              </w:rPr>
              <w:t>food_bread</w:t>
            </w:r>
            <w:r>
              <w:rPr>
                <w:rFonts w:ascii="Times New Roman" w:hAnsi="Times New Roman" w:eastAsia="바탕"/>
                <w:sz w:val="20"/>
              </w:rPr>
              <w:t xml:space="preserve"> spun through 0.52, 0.47 and 0.51 across three attempts. The retries oscillated instead of converging.</w:t>
            </w:r>
          </w:p>
          <w:p>
            <w:pPr>
              <w:spacing w:after="80" w:line="276" w:lineRule="auto"/>
              <w:jc w:val="both"/>
            </w:pPr>
            <w:r>
              <w:rPr>
                <w:rFonts w:ascii="Times New Roman" w:hAnsi="Times New Roman" w:eastAsia="바탕"/>
                <w:sz w:val="20"/>
              </w:rPr>
              <w:t xml:space="preserve">The checker already knows why something failed. Counting attempts without using that reason is the same as rolling the same die again, and each roll costs money. Instructions were therefore hooked to the reason. What follows is </w:t>
            </w:r>
            <w:r>
              <w:rPr>
                <w:rFonts w:ascii="Consolas" w:hAnsi="Consolas" w:eastAsia="Consolas"/>
                <w:sz w:val="19"/>
              </w:rPr>
              <w:t>engine/gen_glyphs.py</w:t>
            </w:r>
            <w:r>
              <w:rPr>
                <w:rFonts w:ascii="Times New Roman" w:hAnsi="Times New Roman" w:eastAsia="바탕"/>
                <w:sz w:val="20"/>
              </w:rPr>
              <w:t xml:space="preserve"> as it stands, with only the comments and the two guard lines above removed. The conditions match on Korean words because the checker writes its reasons in Korean: 뭉쳤다 is clotted, 가늘다 too thin, 개수 wrong count, 뜻이 안 맞는다 misread, 구멍/뭉갠다 holes closing up when shrunk.</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Design intent. The six branches push in six different directions. The last catches any reason the preceding five did not match. The last one matters especially. A meaning that came out wrong is a problem of form rather than of weight, so telling the model to adjust thickness makes it draw the wrong picture more sharply wrong. After this branch was added, all four symbols that had previously failed passed on the second attempt.</w:t>
            </w:r>
          </w:p>
          <w:p>
            <w:pPr>
              <w:spacing w:after="80" w:line="276" w:lineRule="auto"/>
              <w:jc w:val="both"/>
            </w:pPr>
            <w:r>
              <w:rPr>
                <w:rFonts w:ascii="Times New Roman" w:hAnsi="Times New Roman" w:eastAsia="바탕"/>
                <w:sz w:val="20"/>
              </w:rPr>
              <w:t xml:space="preserve">The last sentence of the first branch was paid for as well. It originally said only "hollow it out," and what came back was an outline drawing rather than a filled silhouette. The weight dropped, but the rest of the set is all filled silhouettes so the visual language became mixed, and above all </w:t>
            </w:r>
            <w:r>
              <w:rPr>
                <w:rFonts w:ascii="Consolas" w:hAnsi="Consolas" w:eastAsia="Consolas"/>
                <w:sz w:val="19"/>
              </w:rPr>
              <w:t>qty_one</w:t>
            </w:r>
            <w:r>
              <w:rPr>
                <w:rFonts w:ascii="Times New Roman" w:hAnsi="Times New Roman" w:eastAsia="바탕"/>
                <w:sz w:val="20"/>
              </w:rPr>
              <w:t xml:space="preserve"> became a ring rather than a filled dot and read as "0" rather than "1." The method of reduction was therefore restricted to "smaller, with holes punched through" and "do not turn it into a hollow outline" was stated explicitly.</w:t>
            </w:r>
          </w:p>
          <w:p>
            <w:pPr>
              <w:spacing w:after="80" w:line="276" w:lineRule="auto"/>
              <w:jc w:val="both"/>
            </w:pPr>
            <w:r>
              <w:rPr>
                <w:rFonts w:ascii="Times New Roman" w:hAnsi="Times New Roman" w:eastAsia="바탕"/>
                <w:sz w:val="20"/>
              </w:rPr>
              <w:t xml:space="preserve">The same defect appeared once more later. </w:t>
            </w:r>
            <w:r>
              <w:rPr>
                <w:rFonts w:ascii="Consolas" w:hAnsi="Consolas" w:eastAsia="Consolas"/>
                <w:sz w:val="19"/>
              </w:rPr>
              <w:t>qty_four</w:t>
            </w:r>
            <w:r>
              <w:rPr>
                <w:rFonts w:ascii="Times New Roman" w:hAnsi="Times New Roman" w:eastAsia="바탕"/>
                <w:sz w:val="20"/>
              </w:rPr>
              <w:t xml:space="preserve"> had remained as four rings rather than four filled dots, and in a counting picture an empty ring reads as zero, while one, two, three and five in the same set are all filled dots, so it alone followed a different rule within the set. Why the checker passed it is clear: four rings is still correctly "four." This means something can pass both the counting check and the meaning check and still be wrong, and this is the point taken up again as a limitation of the procedure in §5.4.</w:t>
            </w:r>
          </w:p>
          <w:p>
            <w:pPr>
              <w:spacing w:before="120" w:after="20"/>
            </w:pPr>
            <w:r>
              <w:rPr>
                <w:rFonts w:ascii="Times New Roman" w:hAnsi="Times New Roman" w:eastAsia="바탕"/>
                <w:b/>
                <w:sz w:val="21"/>
              </w:rPr>
              <w:t>5.2.2 Results across all 78 morphemes</w:t>
            </w:r>
          </w:p>
          <w:p>
            <w:pPr>
              <w:spacing w:after="80" w:line="276" w:lineRule="auto"/>
              <w:jc w:val="both"/>
            </w:pPr>
            <w:r>
              <w:rPr>
                <w:rFonts w:ascii="Times New Roman" w:hAnsi="Times New Roman" w:eastAsia="바탕"/>
                <w:sz w:val="20"/>
              </w:rPr>
              <w:t>Applying this procedure to all 78 morphemes gave the following.</w:t>
            </w:r>
          </w:p>
          <w:p>
            <w:pPr>
              <w:spacing w:after="80" w:line="276" w:lineRule="auto"/>
              <w:jc w:val="both"/>
            </w:pPr>
            <w:r>
              <w:rPr>
                <w:rFonts w:ascii="Times New Roman" w:hAnsi="Times New Roman" w:eastAsia="바탕"/>
                <w:sz w:val="20"/>
              </w:rPr>
              <w:t>[Table 33] Semantic check results for the 78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Category</w:t>
                  </w:r>
                </w:p>
              </w:tc>
              <w:tc>
                <w:tcPr>
                  <w:tcW w:type="dxa" w:w="4857"/>
                  <w:shd w:val="clear" w:fill="F2F2F2"/>
                </w:tcPr>
                <w:p>
                  <w:r>
                    <w:rPr>
                      <w:rFonts w:ascii="Times New Roman" w:hAnsi="Times New Roman" w:eastAsia="바탕"/>
                      <w:b/>
                      <w:sz w:val="18"/>
                    </w:rPr>
                    <w:t>Count</w:t>
                  </w:r>
                </w:p>
              </w:tc>
            </w:tr>
            <w:tr>
              <w:tc>
                <w:tcPr>
                  <w:tcW w:type="dxa" w:w="4857"/>
                </w:tcPr>
                <w:p>
                  <w:r>
                    <w:rPr>
                      <w:rFonts w:ascii="Times New Roman" w:hAnsi="Times New Roman" w:eastAsia="바탕"/>
                      <w:sz w:val="18"/>
                    </w:rPr>
                    <w:t>Read as intended</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Read differently</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Of the 24 read differently, 7 are actually exposed on screen, while the remaining 17 exist only in the dictionary and are never called by the app. The 7 that are exposed were reworked with the misreading fed back into the prompt, with the improvements shown below.</w:t>
            </w: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07_glyph_check.png"/>
                          <pic:cNvPicPr/>
                        </pic:nvPicPr>
                        <pic:blipFill>
                          <a:blip r:embed="rId5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38]</w:t>
            </w:r>
            <w:r>
              <w:rPr>
                <w:rFonts w:ascii="Times New Roman" w:hAnsi="Times New Roman" w:eastAsia="바탕"/>
                <w:color w:val="606068"/>
                <w:sz w:val="18"/>
              </w:rPr>
              <w:t xml:space="preserve"> First-pass semantic check results for the 78 morphemes and the breakdown of the 24 misread. The misreadings are split rather than pooled because the two are different in nature. The 7 exposed on screen are actually seen by users and have to be fixed, while the 17 that exist only in the dictionary are not yet seen by anyone. Fixing the former first is a matter of allocating effort and does not mean the latter are acceptable.</w:t>
            </w:r>
          </w:p>
          <w:p>
            <w:pPr>
              <w:spacing w:after="80" w:line="276" w:lineRule="auto"/>
              <w:jc w:val="both"/>
            </w:pPr>
            <w:r>
              <w:rPr>
                <w:rFonts w:ascii="Times New Roman" w:hAnsi="Times New Roman" w:eastAsia="바탕"/>
                <w:sz w:val="20"/>
              </w:rPr>
              <w:t>[Table 34] Morphemes improved by rework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Previously read as</w:t>
                  </w:r>
                </w:p>
              </w:tc>
              <w:tc>
                <w:tcPr>
                  <w:tcW w:type="dxa" w:w="3238"/>
                  <w:shd w:val="clear" w:fill="F2F2F2"/>
                </w:tcPr>
                <w:p>
                  <w:r>
                    <w:rPr>
                      <w:rFonts w:ascii="Times New Roman" w:hAnsi="Times New Roman" w:eastAsia="바탕"/>
                      <w:b/>
                      <w:sz w:val="18"/>
                    </w:rPr>
                    <w:t>After</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Times New Roman" w:hAnsi="Times New Roman" w:eastAsia="바탕"/>
                <w:sz w:val="20"/>
              </w:rPr>
              <w:t xml:space="preserve">The improvement to </w:t>
            </w:r>
            <w:r>
              <w:rPr>
                <w:rFonts w:ascii="Consolas" w:hAnsi="Consolas" w:eastAsia="Consolas"/>
                <w:sz w:val="19"/>
              </w:rPr>
              <w:t>allergen_tree_nut</w:t>
            </w:r>
            <w:r>
              <w:rPr>
                <w:rFonts w:ascii="Times New Roman" w:hAnsi="Times New Roman" w:eastAsia="바탕"/>
                <w:sz w:val="20"/>
              </w:rPr>
              <w:t xml:space="preserve"> matters particularly. Its being read as "cracked egg" is not simply a misreading, because a different allergen, </w:t>
            </w:r>
            <w:r>
              <w:rPr>
                <w:rFonts w:ascii="Consolas" w:hAnsi="Consolas" w:eastAsia="Consolas"/>
                <w:sz w:val="19"/>
              </w:rPr>
              <w:t>egg</w:t>
            </w:r>
            <w:r>
              <w:rPr>
                <w:rFonts w:ascii="Times New Roman" w:hAnsi="Times New Roman" w:eastAsia="바탕"/>
                <w:sz w:val="20"/>
              </w:rPr>
              <w:t>, exists in the same set. Two different allergy warnings were being read as the same picture.</w:t>
            </w:r>
          </w:p>
          <w:p>
            <w:pPr>
              <w:spacing w:before="180" w:after="40"/>
            </w:pPr>
            <w:r>
              <w:rPr>
                <w:rFonts w:ascii="Times New Roman" w:hAnsi="Times New Roman" w:eastAsia="바탕"/>
                <w:b/>
                <w:sz w:val="23"/>
              </w:rPr>
              <w:t>5.3 Morphemes judged unimprovable</w:t>
            </w:r>
          </w:p>
          <w:p>
            <w:pPr>
              <w:spacing w:after="80" w:line="276" w:lineRule="auto"/>
              <w:jc w:val="both"/>
            </w:pPr>
            <w:r>
              <w:rPr>
                <w:rFonts w:ascii="Times New Roman" w:hAnsi="Times New Roman" w:eastAsia="바탕"/>
                <w:sz w:val="20"/>
              </w:rPr>
              <w:t>Five symbols were reworked without improving. These differ in nature from the seven above.</w:t>
            </w:r>
          </w:p>
          <w:p>
            <w:pPr>
              <w:spacing w:after="80" w:line="276" w:lineRule="auto"/>
              <w:jc w:val="both"/>
            </w:pPr>
            <w:r>
              <w:rPr>
                <w:rFonts w:ascii="Times New Roman" w:hAnsi="Times New Roman" w:eastAsia="바탕"/>
                <w:sz w:val="20"/>
              </w:rPr>
              <w:t>[Table 35] Morphemes not improved and 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Problem</w:t>
                  </w:r>
                </w:p>
              </w:tc>
              <w:tc>
                <w:tcPr>
                  <w:tcW w:type="dxa" w:w="3238"/>
                  <w:shd w:val="clear" w:fill="F2F2F2"/>
                </w:tcPr>
                <w:p>
                  <w:r>
                    <w:rPr>
                      <w:rFonts w:ascii="Times New Roman" w:hAnsi="Times New Roman" w:eastAsia="바탕"/>
                      <w:b/>
                      <w:sz w:val="18"/>
                    </w:rPr>
                    <w:t>Judgement</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Identical in form to a bullet. Adding packaging made it read as "bomb" or "rocket"</w:t>
                  </w:r>
                </w:p>
              </w:tc>
              <w:tc>
                <w:tcPr>
                  <w:tcW w:type="dxa" w:w="3238"/>
                </w:tcPr>
                <w:p>
                  <w:r>
                    <w:rPr>
                      <w:rFonts w:ascii="Times New Roman" w:hAnsi="Times New Roman" w:eastAsia="바탕"/>
                      <w:sz w:val="18"/>
                    </w:rPr>
                    <w:t>Form alone does not separate them</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Drawn as texture it becomes waves, as an arm it clots, as a finger it becomes a footprint</w:t>
                  </w:r>
                </w:p>
              </w:tc>
              <w:tc>
                <w:tcPr>
                  <w:tcW w:type="dxa" w:w="3238"/>
                </w:tcPr>
                <w:p>
                  <w:r>
                    <w:rPr>
                      <w:rFonts w:ascii="Times New Roman" w:hAnsi="Times New Roman" w:eastAsia="바탕"/>
                      <w:sz w:val="18"/>
                    </w:rPr>
                    <w:t>"Skin" is not an object that can stand alone</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The sun rising and the sun setting differ </w:t>
                  </w:r>
                  <w:r>
                    <w:rPr>
                      <w:rFonts w:ascii="Times New Roman" w:hAnsi="Times New Roman" w:eastAsia="바탕"/>
                      <w:b/>
                      <w:sz w:val="18"/>
                    </w:rPr>
                    <w:t>only by direction</w:t>
                  </w:r>
                </w:p>
              </w:tc>
              <w:tc>
                <w:tcPr>
                  <w:tcW w:type="dxa" w:w="3238"/>
                </w:tcPr>
                <w:p>
                  <w:r>
                    <w:rPr>
                      <w:rFonts w:ascii="Times New Roman" w:hAnsi="Times New Roman" w:eastAsia="바탕"/>
                      <w:sz w:val="18"/>
                    </w:rPr>
                    <w:t>A still picture has no direction</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Seeds in a pod worked better than scattered seeds, but </w:t>
                  </w:r>
                  <w:r>
                    <w:rPr>
                      <w:rFonts w:ascii="Consolas" w:hAnsi="Consolas" w:eastAsia="Consolas"/>
                      <w:sz w:val="17"/>
                    </w:rPr>
                    <w:t>allergen_soy</w:t>
                  </w:r>
                  <w:r>
                    <w:rPr>
                      <w:rFonts w:ascii="Times New Roman" w:hAnsi="Times New Roman" w:eastAsia="바탕"/>
                      <w:sz w:val="18"/>
                    </w:rPr>
                    <w:t xml:space="preserve"> is already a bean pod</w:t>
                  </w:r>
                </w:p>
              </w:tc>
              <w:tc>
                <w:tcPr>
                  <w:tcW w:type="dxa" w:w="3238"/>
                </w:tcPr>
                <w:p>
                  <w:r>
                    <w:rPr>
                      <w:rFonts w:ascii="Times New Roman" w:hAnsi="Times New Roman" w:eastAsia="바탕"/>
                      <w:b/>
                      <w:sz w:val="18"/>
                    </w:rPr>
                    <w:t>Collides within the set</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The tear serration of a medicine sachet and the crimp of a sweet wrapper are the same shape in silhouette</w:t>
                  </w:r>
                </w:p>
              </w:tc>
              <w:tc>
                <w:tcPr>
                  <w:tcW w:type="dxa" w:w="3238"/>
                </w:tcPr>
                <w:p>
                  <w:r>
                    <w:rPr>
                      <w:rFonts w:ascii="Times New Roman" w:hAnsi="Times New Roman" w:eastAsia="바탕"/>
                      <w:sz w:val="18"/>
                    </w:rPr>
                    <w:t>Form alone does not separate them</w:t>
                  </w:r>
                </w:p>
              </w:tc>
            </w:tr>
          </w:tbl>
          <w:p/>
          <w:p>
            <w:pPr>
              <w:spacing w:after="120"/>
            </w:pPr>
          </w:p>
          <w:p>
            <w:pPr>
              <w:spacing w:after="80" w:line="276" w:lineRule="auto"/>
              <w:jc w:val="both"/>
            </w:pPr>
            <w:r>
              <w:rPr>
                <w:rFonts w:ascii="Times New Roman" w:hAnsi="Times New Roman" w:eastAsia="바탕"/>
                <w:sz w:val="20"/>
              </w:rPr>
              <w:t>§5.7 added one that is not in this table. Sheron Sir Loon Goh, Pharmacy Lecturer, wrote that a capsule picture with one dot beside it does not read as "once a day"; without hearing the audio the relationship is not visible.</w:t>
            </w:r>
          </w:p>
          <w:p>
            <w:pPr>
              <w:spacing w:after="80" w:line="276" w:lineRule="auto"/>
              <w:jc w:val="both"/>
            </w:pPr>
            <w:r>
              <w:rPr>
                <w:rFonts w:ascii="Times New Roman" w:hAnsi="Times New Roman" w:eastAsia="바탕"/>
                <w:sz w:val="20"/>
              </w:rPr>
              <w:t>This is the kind the semantic check of §5.2 cannot catch. That check shows one morpheme on its own and asks what it looks like, whereas this problem is whether the relationship reads when two morphemes occupy one cell. One dot reads well as one dot and a capsule reads well as a capsule. Whether overlaying them yields "once a day" was never asked. That the procedure of §5.2 checks morphemes and not combinations shows here.</w:t>
            </w:r>
          </w:p>
          <w:p>
            <w:pPr>
              <w:spacing w:after="80" w:line="276" w:lineRule="auto"/>
              <w:jc w:val="both"/>
            </w:pPr>
            <w:r>
              <w:rPr>
                <w:rFonts w:ascii="Times New Roman" w:hAnsi="Times New Roman" w:eastAsia="바탕"/>
                <w:sz w:val="20"/>
              </w:rPr>
              <w:t>These five are set out because they show where the limits of the pictogram as a medium lie. All seven that could be improved were resolved by choosing a better object, whereas for these five the concept itself does not hold as a standalone silhouette.</w:t>
            </w:r>
          </w:p>
          <w:p>
            <w:pPr>
              <w:spacing w:after="80" w:line="276" w:lineRule="auto"/>
              <w:jc w:val="both"/>
            </w:pPr>
            <w:r>
              <w:rPr>
                <w:rFonts w:ascii="Times New Roman" w:hAnsi="Times New Roman" w:eastAsia="바탕"/>
                <w:sz w:val="20"/>
              </w:rPr>
              <w:t xml:space="preserve">The rework log for </w:t>
            </w:r>
            <w:r>
              <w:rPr>
                <w:rFonts w:ascii="Consolas" w:hAnsi="Consolas" w:eastAsia="Consolas"/>
                <w:sz w:val="19"/>
              </w:rPr>
              <w:t>sachet</w:t>
            </w:r>
            <w:r>
              <w:rPr>
                <w:rFonts w:ascii="Times New Roman" w:hAnsi="Times New Roman" w:eastAsia="바탕"/>
                <w:sz w:val="20"/>
              </w:rPr>
              <w:t xml:space="preserve"> is worth keeping. Two directions were tried and both failed.</w:t>
            </w:r>
          </w:p>
          <w:p>
            <w:pPr>
              <w:spacing w:after="80" w:line="276" w:lineRule="auto"/>
              <w:jc w:val="both"/>
            </w:pPr>
            <w:r>
              <w:rPr>
                <w:rFonts w:ascii="Times New Roman" w:hAnsi="Times New Roman" w:eastAsia="바탕"/>
                <w:sz w:val="20"/>
              </w:rPr>
              <w:t xml:space="preserve">First, the side serration was removed and the powder drawn as small white dots. It was still a "candy wrapper." The diagnosis that the cause was the serration rather than the notch was not itself wrong; what remained after removing the serration was still a sweet wrapper. The worse part is the "small white dots." Those dots </w:t>
            </w:r>
            <w:r>
              <w:rPr>
                <w:rFonts w:ascii="Times New Roman" w:hAnsi="Times New Roman" w:eastAsia="바탕"/>
                <w:b/>
                <w:sz w:val="20"/>
              </w:rPr>
              <w:t>disappeared entirely at 32 pixels (21 to 0).</w:t>
            </w:r>
            <w:r>
              <w:rPr>
                <w:rFonts w:ascii="Times New Roman" w:hAnsi="Times New Roman" w:eastAsia="바탕"/>
                <w:sz w:val="20"/>
              </w:rPr>
              <w:t xml:space="preserve"> The very failure the mechanical check in §5.2 exists to catch was produced by the instruction meant to avoid it.</w:t>
            </w:r>
          </w:p>
          <w:p>
            <w:pPr>
              <w:spacing w:after="80" w:line="276" w:lineRule="auto"/>
              <w:jc w:val="both"/>
            </w:pPr>
            <w:r>
              <w:rPr>
                <w:rFonts w:ascii="Times New Roman" w:hAnsi="Times New Roman" w:eastAsia="바탕"/>
                <w:sz w:val="20"/>
              </w:rPr>
              <w:t>Second, the subject was changed to the moment of tipping the sachet to pour. It was read as "ice cream cone" and "cocktail shaker pouring." A widening wedge becomes a cone. A third attempt was refused by the image generation API; a request to draw "pouring powder" was classified as drug misuse.</w:t>
            </w:r>
          </w:p>
          <w:p>
            <w:pPr>
              <w:spacing w:after="80" w:line="276" w:lineRule="auto"/>
              <w:jc w:val="both"/>
            </w:pPr>
            <w:r>
              <w:rPr>
                <w:rFonts w:ascii="Times New Roman" w:hAnsi="Times New Roman" w:eastAsia="바탕"/>
                <w:sz w:val="20"/>
              </w:rPr>
              <w:t>The failed pictures were not installed. The assets remain as they were and the prompt was reverted. What was kept is only the record of the attempts. The checker's expected value was, however, changed from a concept name to a sentence. Matching on the name alone is loose enough that the next person running the same check might see this failure as a pass.</w:t>
            </w:r>
          </w:p>
          <w:p>
            <w:pPr>
              <w:spacing w:after="80" w:line="276" w:lineRule="auto"/>
              <w:jc w:val="both"/>
            </w:pPr>
            <w:r>
              <w:rPr>
                <w:rFonts w:ascii="Times New Roman" w:hAnsi="Times New Roman" w:eastAsia="바탕"/>
                <w:sz w:val="20"/>
              </w:rPr>
              <w:t xml:space="preserve">For four of these five, speech fills the place on screen. As described in §3.5, pressing a picture makes it say what it means, so </w:t>
            </w:r>
            <w:r>
              <w:rPr>
                <w:rFonts w:ascii="Consolas" w:hAnsi="Consolas" w:eastAsia="Consolas"/>
                <w:sz w:val="19"/>
              </w:rPr>
              <w:t>sachet</w:t>
            </w:r>
            <w:r>
              <w:rPr>
                <w:rFonts w:ascii="Times New Roman" w:hAnsi="Times New Roman" w:eastAsia="바탕"/>
                <w:sz w:val="20"/>
              </w:rPr>
              <w:t xml:space="preserve"> can be heard as "The powder sachet." even when it is not recognised. Having one more layer where the picture failed is what the three-layer design in §2.1 actually does.</w:t>
            </w:r>
          </w:p>
          <w:p>
            <w:pPr>
              <w:spacing w:before="180" w:after="40"/>
            </w:pPr>
            <w:r>
              <w:rPr>
                <w:rFonts w:ascii="Times New Roman" w:hAnsi="Times New Roman" w:eastAsia="바탕"/>
                <w:b/>
                <w:sz w:val="23"/>
              </w:rPr>
              <w:t>5.4 Limits of the measurement</w:t>
            </w:r>
          </w:p>
          <w:p>
            <w:pPr>
              <w:spacing w:after="80" w:line="276" w:lineRule="auto"/>
              <w:jc w:val="both"/>
            </w:pPr>
            <w:r>
              <w:rPr>
                <w:rFonts w:ascii="Times New Roman" w:hAnsi="Times New Roman" w:eastAsia="바탕"/>
                <w:sz w:val="20"/>
              </w:rPr>
              <w:t>The figures from the previous two sections share a characteristic. Both come from a machine scoring a machine rather than from asking people. This section sets out what those figures say and what they do not.</w:t>
            </w:r>
          </w:p>
          <w:p>
            <w:pPr>
              <w:spacing w:after="80" w:line="276" w:lineRule="auto"/>
              <w:jc w:val="both"/>
            </w:pPr>
            <w:r>
              <w:rPr>
                <w:rFonts w:ascii="Times New Roman" w:hAnsi="Times New Roman" w:eastAsia="바탕"/>
                <w:sz w:val="20"/>
              </w:rPr>
              <w:t>The results in this section carry three limitations, which are stated alongside them.</w:t>
            </w:r>
          </w:p>
          <w:p>
            <w:pPr>
              <w:spacing w:after="80" w:line="276" w:lineRule="auto"/>
              <w:jc w:val="both"/>
            </w:pPr>
            <w:r>
              <w:rPr>
                <w:rFonts w:ascii="Times New Roman" w:hAnsi="Times New Roman" w:eastAsia="바탕"/>
                <w:sz w:val="20"/>
              </w:rPr>
              <w:t>First, no people were asked. The semantic check above put the question to a vision language model rather than to people. It therefore cannot be compared directly with the prior figures in Table 6 (17 of 108 passing ANSI). The value of this procedure lies not in replacing testing with people but in filtering obvious misreadings beforehand and saving the cost of one round of testing.</w:t>
            </w:r>
          </w:p>
          <w:p>
            <w:pPr>
              <w:spacing w:after="80" w:line="276" w:lineRule="auto"/>
              <w:jc w:val="both"/>
            </w:pPr>
            <w:r>
              <w:rPr>
                <w:rFonts w:ascii="Times New Roman" w:hAnsi="Times New Roman" w:eastAsia="바탕"/>
                <w:sz w:val="20"/>
              </w:rPr>
              <w:t>Second, the judgement wavers at the boundary. There were cases where the same picture passed on one run and failed on another (</w:t>
            </w:r>
            <w:r>
              <w:rPr>
                <w:rFonts w:ascii="Consolas" w:hAnsi="Consolas" w:eastAsia="Consolas"/>
                <w:sz w:val="19"/>
              </w:rPr>
              <w:t>symptom_cough</w:t>
            </w:r>
            <w:r>
              <w:rPr>
                <w:rFonts w:ascii="Times New Roman" w:hAnsi="Times New Roman" w:eastAsia="바탕"/>
                <w:sz w:val="20"/>
              </w:rPr>
              <w:t xml:space="preserve"> being read as "person breathing out"). This check is therefore a gate rather than a verdict, and it was made a principle not to adjust the pass criterion until every item passes.</w:t>
            </w:r>
          </w:p>
          <w:p>
            <w:pPr>
              <w:spacing w:after="80" w:line="276" w:lineRule="auto"/>
              <w:jc w:val="both"/>
            </w:pPr>
            <w:r>
              <w:rPr>
                <w:rFonts w:ascii="Times New Roman" w:hAnsi="Times New Roman" w:eastAsia="바탕"/>
                <w:sz w:val="20"/>
              </w:rPr>
              <w:t>Third, the scorer and the scored may share the same kind of failure. A vision language model is built by learning the world's pictures, so the more conventional and widespread a representation is, the better it recognises it. Yet it is exactly that convention which varies by culture (Table 6), and that is what concerns us. This check is therefore strong at measuring "did it follow common convention" and weak at measuring "does it work for someone who does not know this convention." No guarantee that the 54 symbols which passed will work as they are for older Moldovan users comes out of this.</w:t>
            </w:r>
          </w:p>
          <w:p>
            <w:pPr>
              <w:spacing w:after="80" w:line="276" w:lineRule="auto"/>
              <w:jc w:val="both"/>
            </w:pPr>
            <w:r>
              <w:rPr>
                <w:rFonts w:ascii="Times New Roman" w:hAnsi="Times New Roman" w:eastAsia="바탕"/>
                <w:sz w:val="20"/>
              </w:rPr>
              <w:t>Putting the three together makes clear what the procedure in §5.2 is. It is a sieve for filtering obvious misreadings before asking people, not a substitute for asking them. The 24 it filtered out are ones that would have consumed testing time and returned the same answer had they been shown to people.</w:t>
            </w:r>
          </w:p>
          <w:p>
            <w:pPr>
              <w:spacing w:after="80" w:line="276" w:lineRule="auto"/>
              <w:jc w:val="both"/>
            </w:pPr>
            <w:r>
              <w:rPr>
                <w:rFonts w:ascii="Times New Roman" w:hAnsi="Times New Roman" w:eastAsia="바탕"/>
                <w:sz w:val="20"/>
              </w:rPr>
              <w:t xml:space="preserve">§5.7 added a fourth to those three. Asked how the set should be tested with AAC users, E. A. Draffan, retired speech and language therapist and visiting accessibility researcher at Global Symbols, answered that a trial is possible but that </w:t>
            </w:r>
            <w:r>
              <w:rPr>
                <w:rFonts w:ascii="Times New Roman" w:hAnsi="Times New Roman" w:eastAsia="바탕"/>
                <w:b/>
                <w:sz w:val="20"/>
              </w:rPr>
              <w:t>the level at which failure occurs will never be known</w:t>
            </w:r>
            <w:r>
              <w:rPr>
                <w:rFonts w:ascii="Times New Roman" w:hAnsi="Times New Roman" w:eastAsia="바탕"/>
                <w:sz w:val="20"/>
              </w:rPr>
              <w:t>, because there are too many variables.</w:t>
            </w:r>
          </w:p>
          <w:p>
            <w:pPr>
              <w:spacing w:after="80" w:line="276" w:lineRule="auto"/>
              <w:jc w:val="both"/>
            </w:pPr>
            <w:r>
              <w:rPr>
                <w:rFonts w:ascii="Times New Roman" w:hAnsi="Times New Roman" w:eastAsia="바탕"/>
                <w:sz w:val="20"/>
              </w:rPr>
              <w:t>That lands directly on the procedure of §5.2. When a morpheme fails the semantic check we read it as the drawing being wrong. But whether it failed because of the drawing, because of the 32-pixel size, or because the judge does not know the concept is something this procedure cannot separate. The five judged unimprovable in §5.3 rest on the same limitation. Three attempts failing three times and a concept not standing up as a silhouette are different statements, and we looked at the first and wrote down the second.</w:t>
            </w:r>
          </w:p>
          <w:p>
            <w:pPr>
              <w:spacing w:before="180" w:after="40"/>
            </w:pPr>
            <w:r>
              <w:rPr>
                <w:rFonts w:ascii="Times New Roman" w:hAnsi="Times New Roman" w:eastAsia="바탕"/>
                <w:b/>
                <w:sz w:val="23"/>
              </w:rPr>
              <w:t>5.5 Measured performance of the nutrition estimation model</w:t>
            </w:r>
          </w:p>
          <w:p>
            <w:pPr>
              <w:spacing w:after="80" w:line="276" w:lineRule="auto"/>
              <w:jc w:val="both"/>
            </w:pPr>
            <w:r>
              <w:rPr>
                <w:rFonts w:ascii="Times New Roman" w:hAnsi="Times New Roman" w:eastAsia="바탕"/>
                <w:sz w:val="20"/>
              </w:rPr>
              <w:t>The model used on the meal photograph route was scored against the official RGB test split of Nutrition5k. The deployed file itself (</w:t>
            </w:r>
            <w:r>
              <w:rPr>
                <w:rFonts w:ascii="Consolas" w:hAnsi="Consolas" w:eastAsia="Consolas"/>
                <w:sz w:val="19"/>
              </w:rPr>
              <w:t>web.onnx</w:t>
            </w:r>
            <w:r>
              <w:rPr>
                <w:rFonts w:ascii="Times New Roman" w:hAnsi="Times New Roman" w:eastAsia="바탕"/>
                <w:sz w:val="20"/>
              </w:rPr>
              <w:t>) was run with the same preprocessing as the browser: short side resized to 258, 224 centre crop, divided by 255.</w:t>
            </w:r>
          </w:p>
          <w:p>
            <w:pPr>
              <w:spacing w:after="80" w:line="276" w:lineRule="auto"/>
              <w:jc w:val="both"/>
            </w:pPr>
            <w:r>
              <w:rPr>
                <w:rFonts w:ascii="Times New Roman" w:hAnsi="Times New Roman" w:eastAsia="바탕"/>
                <w:sz w:val="20"/>
              </w:rPr>
              <w:t>[Table 36] Per-item error of the nutrition estimation model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Item</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Test set mean</w:t>
                  </w:r>
                </w:p>
              </w:tc>
            </w:tr>
            <w:tr>
              <w:tc>
                <w:tcPr>
                  <w:tcW w:type="dxa" w:w="2429"/>
                </w:tcPr>
                <w:p>
                  <w:r>
                    <w:rPr>
                      <w:rFonts w:ascii="Times New Roman" w:hAnsi="Times New Roman" w:eastAsia="바탕"/>
                      <w:sz w:val="18"/>
                    </w:rPr>
                    <w:t>Energy</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Mass</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Fat</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Carbohydrate</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Protein</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Mean</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follows the official definition: the mean absolute error divided by the mean of the ground truth, not the mean of per-dish ratios. The 507 scored are all the dishes in the 709-item test split for which an overhead frame exists. The official protocol uses overhead frames only, and mixing in side frames produces different numbers and quietly manufactures a value that cannot be compared.</w:t>
            </w:r>
          </w:p>
          <w:p>
            <w:pPr>
              <w:spacing w:after="80" w:line="276" w:lineRule="auto"/>
              <w:jc w:val="both"/>
            </w:pPr>
            <w:r>
              <w:rPr>
                <w:rFonts w:ascii="Times New Roman" w:hAnsi="Times New Roman" w:eastAsia="바탕"/>
                <w:sz w:val="20"/>
              </w:rPr>
              <w:t>The same figures were recorded in the exported model's metadata, but rather than transcribing them we obtained the data and measured again. All five items matched to two decimal places. If checking citations against their sources has established anything in this document, it is that a value written down somewhere and the value its source actually states are frequently different.</w:t>
            </w:r>
          </w:p>
          <w:p>
            <w:pPr>
              <w:spacing w:after="80" w:line="276" w:lineRule="auto"/>
              <w:jc w:val="both"/>
            </w:pPr>
            <w:r>
              <w:rPr>
                <w:rFonts w:ascii="Times New Roman" w:hAnsi="Times New Roman" w:eastAsia="바탕"/>
                <w:sz w:val="20"/>
              </w:rPr>
              <w:t>It should be stated that these values can no longer be re-measured. When the Nutrition5k source was deleted, the 3,262 overhead frames of the official test split went with it, and the 507 test dishes contain no side frames to substitute. The figures above were measured while the data existed and the procedure survives in the script in §11, but running it now reports that the data is absent and stops.</w:t>
            </w:r>
          </w:p>
          <w:p>
            <w:pPr>
              <w:spacing w:after="80" w:line="276" w:lineRule="auto"/>
              <w:jc w:val="both"/>
            </w:pPr>
            <w:r>
              <w:rPr>
                <w:rFonts w:ascii="Times New Roman" w:hAnsi="Times New Roman" w:eastAsia="바탕"/>
                <w:sz w:val="20"/>
              </w:rPr>
              <w:t>There is a value measured on what remains, however, and it is the one that fits this app better.</w:t>
            </w:r>
          </w:p>
          <w:p>
            <w:pPr>
              <w:spacing w:after="80" w:line="276" w:lineRule="auto"/>
              <w:jc w:val="both"/>
            </w:pPr>
            <w:r>
              <w:rPr>
                <w:rFonts w:ascii="Times New Roman" w:hAnsi="Times New Roman" w:eastAsia="바탕"/>
                <w:sz w:val="20"/>
              </w:rPr>
              <w:t>[Table 37] The difference between two scorings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Official test split</w:t>
                  </w:r>
                </w:p>
              </w:tc>
              <w:tc>
                <w:tcPr>
                  <w:tcW w:type="dxa" w:w="3238"/>
                  <w:shd w:val="clear" w:fill="F2F2F2"/>
                </w:tcPr>
                <w:p>
                  <w:r>
                    <w:rPr>
                      <w:rFonts w:ascii="Times New Roman" w:hAnsi="Times New Roman" w:eastAsia="바탕"/>
                      <w:b/>
                      <w:sz w:val="18"/>
                    </w:rPr>
                    <w:t>Re-measured on what remains</w:t>
                  </w:r>
                </w:p>
              </w:tc>
            </w:tr>
            <w:tr>
              <w:tc>
                <w:tcPr>
                  <w:tcW w:type="dxa" w:w="3238"/>
                </w:tcPr>
                <w:p>
                  <w:r>
                    <w:rPr>
                      <w:rFonts w:ascii="Times New Roman" w:hAnsi="Times New Roman" w:eastAsia="바탕"/>
                      <w:sz w:val="18"/>
                    </w:rPr>
                    <w:t>What</w:t>
                  </w:r>
                </w:p>
              </w:tc>
              <w:tc>
                <w:tcPr>
                  <w:tcW w:type="dxa" w:w="3238"/>
                </w:tcPr>
                <w:p>
                  <w:r>
                    <w:rPr>
                      <w:rFonts w:ascii="Times New Roman" w:hAnsi="Times New Roman" w:eastAsia="바탕"/>
                      <w:sz w:val="18"/>
                    </w:rPr>
                    <w:t>507 test dishes</w:t>
                  </w:r>
                </w:p>
              </w:tc>
              <w:tc>
                <w:tcPr>
                  <w:tcW w:type="dxa" w:w="3238"/>
                </w:tcPr>
                <w:p>
                  <w:r>
                    <w:rPr>
                      <w:rFonts w:ascii="Times New Roman" w:hAnsi="Times New Roman" w:eastAsia="바탕"/>
                      <w:sz w:val="18"/>
                    </w:rPr>
                    <w:t>259 held-out dishes, 4,805 frames</w:t>
                  </w:r>
                </w:p>
              </w:tc>
            </w:tr>
            <w:tr>
              <w:tc>
                <w:tcPr>
                  <w:tcW w:type="dxa" w:w="3238"/>
                </w:tcPr>
                <w:p>
                  <w:r>
                    <w:rPr>
                      <w:rFonts w:ascii="Times New Roman" w:hAnsi="Times New Roman" w:eastAsia="바탕"/>
                      <w:sz w:val="18"/>
                    </w:rPr>
                    <w:t>From what angle</w:t>
                  </w:r>
                </w:p>
              </w:tc>
              <w:tc>
                <w:tcPr>
                  <w:tcW w:type="dxa" w:w="3238"/>
                </w:tcPr>
                <w:p>
                  <w:r>
                    <w:rPr>
                      <w:rFonts w:ascii="Times New Roman" w:hAnsi="Times New Roman" w:eastAsia="바탕"/>
                      <w:sz w:val="18"/>
                    </w:rPr>
                    <w:t>overhead frames only</w:t>
                  </w:r>
                </w:p>
              </w:tc>
              <w:tc>
                <w:tcPr>
                  <w:tcW w:type="dxa" w:w="3238"/>
                </w:tcPr>
                <w:p>
                  <w:r>
                    <w:rPr>
                      <w:rFonts w:ascii="Times New Roman" w:hAnsi="Times New Roman" w:eastAsia="바탕"/>
                      <w:sz w:val="18"/>
                    </w:rPr>
                    <w:t>side frames</w:t>
                  </w:r>
                </w:p>
              </w:tc>
            </w:tr>
            <w:tr>
              <w:tc>
                <w:tcPr>
                  <w:tcW w:type="dxa" w:w="3238"/>
                </w:tcPr>
                <w:p>
                  <w:r>
                    <w:rPr>
                      <w:rFonts w:ascii="Times New Roman" w:hAnsi="Times New Roman" w:eastAsia="바탕"/>
                      <w:sz w:val="18"/>
                    </w:rPr>
                    <w:t>Running what</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(the same file)</w:t>
                  </w:r>
                </w:p>
              </w:tc>
            </w:tr>
            <w:tr>
              <w:tc>
                <w:tcPr>
                  <w:tcW w:type="dxa" w:w="3238"/>
                </w:tcPr>
                <w:p>
                  <w:r>
                    <w:rPr>
                      <w:rFonts w:ascii="Times New Roman" w:hAnsi="Times New Roman" w:eastAsia="바탕"/>
                      <w:sz w:val="18"/>
                    </w:rPr>
                    <w:t>Mean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Can it be re-measured now</w:t>
                  </w:r>
                </w:p>
              </w:tc>
              <w:tc>
                <w:tcPr>
                  <w:tcW w:type="dxa" w:w="3238"/>
                </w:tcPr>
                <w:p>
                  <w:r>
                    <w:rPr>
                      <w:rFonts w:ascii="Times New Roman" w:hAnsi="Times New Roman" w:eastAsia="바탕"/>
                      <w:sz w:val="18"/>
                    </w:rPr>
                    <w:t>No (the source is gone)</w:t>
                  </w:r>
                </w:p>
              </w:tc>
              <w:tc>
                <w:tcPr>
                  <w:tcW w:type="dxa" w:w="3238"/>
                </w:tcPr>
                <w:p>
                  <w:r>
                    <w:rPr>
                      <w:rFonts w:ascii="Times New Roman" w:hAnsi="Times New Roman" w:eastAsia="바탕"/>
                      <w:sz w:val="18"/>
                    </w:rPr>
                    <w:t>Yes</w:t>
                  </w:r>
                </w:p>
              </w:tc>
            </w:tr>
          </w:tbl>
          <w:p/>
          <w:p>
            <w:pPr>
              <w:spacing w:after="120"/>
            </w:pPr>
          </w:p>
          <w:p>
            <w:pPr>
              <w:spacing w:after="80" w:line="276" w:lineRule="auto"/>
              <w:jc w:val="both"/>
            </w:pPr>
            <w:r>
              <w:rPr>
                <w:rFonts w:ascii="Times New Roman" w:hAnsi="Times New Roman" w:eastAsia="바탕"/>
                <w:sz w:val="20"/>
              </w:rPr>
              <w:t>The difference between the two values is not the model getting worse but a difference in what is being measured. The official protocol uses only frames taken directly above the dish, whereas users of this app sit at a table and shoot at an angle. Side frames are closer to that angle, which makes 31.7% the value closer to the condition this app will actually meet. The former is the value comparable with the benchmark and the latter is the value that applies to our users, so both are recorded with the table stating which is which. If there is one thing checking citations against sources taught us while writing this document, it is that a value written down somewhere and what its source actually says are often different.</w:t>
            </w:r>
          </w:p>
          <w:p>
            <w:pPr>
              <w:spacing w:after="80" w:line="276" w:lineRule="auto"/>
              <w:jc w:val="both"/>
            </w:pPr>
            <w:r>
              <w:rPr>
                <w:rFonts w:ascii="Times New Roman" w:hAnsi="Times New Roman" w:eastAsia="바탕"/>
                <w:b/>
                <w:sz w:val="20"/>
              </w:rPr>
              <w:t>These figures must not be placed alongside the citation in §4.2.</w:t>
            </w:r>
            <w:r>
              <w:rPr>
                <w:rFonts w:ascii="Times New Roman" w:hAnsi="Times New Roman" w:eastAsia="바탕"/>
                <w:sz w:val="20"/>
              </w:rPr>
              <w:t xml:space="preserve"> The 253.7 kcal energy error from NutritionVerse-Direct was measured on a different dataset, NutritionVerse-Real, while our 58.12 kcal was measured on Nutrition5k. Different data means different difficulty, so comparing the magnitudes of the two is meaningless. The two are presented together not to rank them but to show that this field as a whole still cannot determine nutrition from a single photograph.</w:t>
            </w:r>
          </w:p>
          <w:p>
            <w:pPr>
              <w:spacing w:after="80" w:line="276" w:lineRule="auto"/>
              <w:jc w:val="both"/>
            </w:pPr>
            <w:r>
              <w:rPr>
                <w:rFonts w:ascii="Times New Roman" w:hAnsi="Times New Roman" w:eastAsia="바탕"/>
                <w:sz w:val="20"/>
              </w:rPr>
              <w:t xml:space="preserve">Our own values show that directly. Mass is comparatively better at 16.61%, but fat, carbohydrate and protein all exceed 30%. Fat at 4.21 g looks small in absolute terms, but the test set mean for fat is 12.8 g, which means </w:t>
            </w:r>
            <w:r>
              <w:rPr>
                <w:rFonts w:ascii="Times New Roman" w:hAnsi="Times New Roman" w:eastAsia="바탕"/>
                <w:b/>
                <w:sz w:val="20"/>
              </w:rPr>
              <w:t>roughly one dish in three is wrong on fat by a third</w:t>
            </w:r>
            <w:r>
              <w:rPr>
                <w:rFonts w:ascii="Times New Roman" w:hAnsi="Times New Roman" w:eastAsia="바탕"/>
                <w:sz w:val="20"/>
              </w:rPr>
              <w:t>. Energy at 58.12 kcal is 3.2% of the daily 1,800 kcal at age 70 in §2.4 and is tolerable on a daily basis, but taken against a 700 kcal meal it is 8%.</w:t>
            </w:r>
          </w:p>
          <w:p>
            <w:pPr>
              <w:spacing w:after="80" w:line="276" w:lineRule="auto"/>
              <w:jc w:val="both"/>
            </w:pPr>
            <w:r>
              <w:rPr>
                <w:rFonts w:ascii="Times New Roman" w:hAnsi="Times New Roman" w:eastAsia="바탕"/>
                <w:sz w:val="20"/>
              </w:rPr>
              <w:t>Values from this route are therefore not trusted on the grounds of accuracy. What justifies putting this route on screen is that it passed the physical checks in §4.2 and that the verdict is presented not as this single value but as a share of the user's own reference. For products carrying a nutrition label this route is not used.</w:t>
            </w:r>
          </w:p>
          <w:p>
            <w:pPr>
              <w:spacing w:before="160" w:after="60"/>
              <w:jc w:val="center"/>
            </w:pPr>
            <w:r>
              <w:drawing>
                <wp:inline xmlns:a="http://schemas.openxmlformats.org/drawingml/2006/main" xmlns:pic="http://schemas.openxmlformats.org/drawingml/2006/picture">
                  <wp:extent cx="5486400" cy="2651760"/>
                  <wp:docPr id="39" name="Picture 39"/>
                  <wp:cNvGraphicFramePr>
                    <a:graphicFrameLocks noChangeAspect="1"/>
                  </wp:cNvGraphicFramePr>
                  <a:graphic>
                    <a:graphicData uri="http://schemas.openxmlformats.org/drawingml/2006/picture">
                      <pic:pic>
                        <pic:nvPicPr>
                          <pic:cNvPr id="0" name="chart08_model_mae.png"/>
                          <pic:cNvPicPr/>
                        </pic:nvPicPr>
                        <pic:blipFill>
                          <a:blip r:embed="rId56"/>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39]</w:t>
            </w:r>
            <w:r>
              <w:rPr>
                <w:rFonts w:ascii="Times New Roman" w:hAnsi="Times New Roman" w:eastAsia="바탕"/>
                <w:color w:val="606068"/>
                <w:sz w:val="18"/>
              </w:rPr>
              <w:t xml:space="preserve"> Per-item MAE% of the nutrition estimation model (n = 507). The dashed line is the mean across the five items (26.75%). Mass and energy are relatively better and the trace items get worse, because a photograph of a plate shows volume but not composition. The same volume of rice and the same volume of fried food have similar mass and completely different fat.</w:t>
            </w:r>
          </w:p>
          <w:p>
            <w:pPr>
              <w:spacing w:before="120" w:after="20"/>
            </w:pPr>
            <w:r>
              <w:rPr>
                <w:rFonts w:ascii="Times New Roman" w:hAnsi="Times New Roman" w:eastAsia="바탕"/>
                <w:b/>
                <w:sz w:val="21"/>
              </w:rPr>
              <w:t>5.5.1 Quantisation not applied</w:t>
            </w:r>
          </w:p>
          <w:p>
            <w:pPr>
              <w:spacing w:after="80" w:line="276" w:lineRule="auto"/>
              <w:jc w:val="both"/>
            </w:pPr>
            <w:r>
              <w:rPr>
                <w:rFonts w:ascii="Times New Roman" w:hAnsi="Times New Roman" w:eastAsia="바탕"/>
                <w:sz w:val="20"/>
              </w:rPr>
              <w:t>An int8 quantised build reducing the model to 4.86 MB was also exported but not deployed.</w:t>
            </w:r>
          </w:p>
          <w:p>
            <w:pPr>
              <w:spacing w:after="80" w:line="276" w:lineRule="auto"/>
              <w:jc w:val="both"/>
            </w:pPr>
            <w:r>
              <w:rPr>
                <w:rFonts w:ascii="Times New Roman" w:hAnsi="Times New Roman" w:eastAsia="바탕"/>
                <w:sz w:val="20"/>
              </w:rPr>
              <w:t>[Table 38] float32 compared with int8</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Size</w:t>
                  </w:r>
                </w:p>
              </w:tc>
              <w:tc>
                <w:tcPr>
                  <w:tcW w:type="dxa" w:w="2429"/>
                  <w:shd w:val="clear" w:fill="F2F2F2"/>
                </w:tcPr>
                <w:p>
                  <w:r>
                    <w:rPr>
                      <w:rFonts w:ascii="Times New Roman" w:hAnsi="Times New Roman" w:eastAsia="바탕"/>
                      <w:b/>
                      <w:sz w:val="18"/>
                    </w:rPr>
                    <w:t>Mean MAE%</w:t>
                  </w:r>
                </w:p>
              </w:tc>
              <w:tc>
                <w:tcPr>
                  <w:tcW w:type="dxa" w:w="2429"/>
                  <w:shd w:val="clear" w:fill="F2F2F2"/>
                </w:tcPr>
                <w:p>
                  <w:r>
                    <w:rPr>
                      <w:rFonts w:ascii="Times New Roman" w:hAnsi="Times New Roman" w:eastAsia="바탕"/>
                      <w:b/>
                      <w:sz w:val="18"/>
                    </w:rPr>
                    <w:t>Energy MAE</w:t>
                  </w:r>
                </w:p>
              </w:tc>
            </w:tr>
            <w:tr>
              <w:tc>
                <w:tcPr>
                  <w:tcW w:type="dxa" w:w="2429"/>
                </w:tcPr>
                <w:p>
                  <w:r>
                    <w:rPr>
                      <w:rFonts w:ascii="Times New Roman" w:hAnsi="Times New Roman" w:eastAsia="바탕"/>
                      <w:sz w:val="18"/>
                    </w:rPr>
                    <w:t>float32 (deployed)</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The size falls to a third while the error roughly doubles. For an app targeting places with slow networks, saving 11 MB is no small temptation, but energy error growing from 58 kcal to 106 kcal widens the band in which the verdict flips. </w:t>
            </w:r>
            <w:r>
              <w:rPr>
                <w:rFonts w:ascii="Times New Roman" w:hAnsi="Times New Roman" w:eastAsia="바탕"/>
                <w:b/>
                <w:sz w:val="20"/>
              </w:rPr>
              <w:t>Deciding in §4.5 not to prefetch this model but to fetch it on first use is the counterpart to this choice.</w:t>
            </w:r>
            <w:r>
              <w:rPr>
                <w:rFonts w:ascii="Times New Roman" w:hAnsi="Times New Roman" w:eastAsia="바탕"/>
                <w:sz w:val="20"/>
              </w:rPr>
              <w:t xml:space="preserve"> Instead of trading accuracy for size, the size was kept and the moment of fetching deferred.</w:t>
            </w:r>
          </w:p>
          <w:p>
            <w:pPr>
              <w:spacing w:before="180" w:after="40"/>
            </w:pPr>
            <w:r>
              <w:rPr>
                <w:rFonts w:ascii="Times New Roman" w:hAnsi="Times New Roman" w:eastAsia="바탕"/>
                <w:b/>
                <w:sz w:val="23"/>
              </w:rPr>
              <w:t>5.6 Measured offline operation</w:t>
            </w:r>
          </w:p>
          <w:p>
            <w:pPr>
              <w:spacing w:after="80" w:line="276" w:lineRule="auto"/>
              <w:jc w:val="both"/>
            </w:pPr>
            <w:r>
              <w:rPr>
                <w:rFonts w:ascii="Times New Roman" w:hAnsi="Times New Roman" w:eastAsia="바탕"/>
                <w:sz w:val="20"/>
              </w:rPr>
              <w:t>The claim that verdicts are computed on the device without an internet connection was verified. After building for deployment, the following were confirmed with the server shut down.</w:t>
            </w:r>
          </w:p>
          <w:p>
            <w:pPr>
              <w:spacing w:after="80" w:line="276" w:lineRule="auto"/>
              <w:jc w:val="both"/>
            </w:pPr>
            <w:r>
              <w:rPr>
                <w:rFonts w:ascii="Times New Roman" w:hAnsi="Times New Roman" w:eastAsia="바탕"/>
                <w:sz w:val="20"/>
              </w:rPr>
              <w:t>[Table 39] Offline operation check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 checked</w:t>
                  </w:r>
                </w:p>
              </w:tc>
              <w:tc>
                <w:tcPr>
                  <w:tcW w:type="dxa" w:w="4857"/>
                  <w:shd w:val="clear" w:fill="F2F2F2"/>
                </w:tcPr>
                <w:p>
                  <w:r>
                    <w:rPr>
                      <w:rFonts w:ascii="Times New Roman" w:hAnsi="Times New Roman" w:eastAsia="바탕"/>
                      <w:b/>
                      <w:sz w:val="18"/>
                    </w:rPr>
                    <w:t>Result</w:t>
                  </w:r>
                </w:p>
              </w:tc>
            </w:tr>
            <w:tr>
              <w:tc>
                <w:tcPr>
                  <w:tcW w:type="dxa" w:w="4857"/>
                </w:tcPr>
                <w:p>
                  <w:r>
                    <w:rPr>
                      <w:rFonts w:ascii="Times New Roman" w:hAnsi="Times New Roman" w:eastAsia="바탕"/>
                      <w:sz w:val="18"/>
                    </w:rPr>
                    <w:t>Does the app open</w:t>
                  </w:r>
                </w:p>
              </w:tc>
              <w:tc>
                <w:tcPr>
                  <w:tcW w:type="dxa" w:w="4857"/>
                </w:tcPr>
                <w:p>
                  <w:r>
                    <w:rPr>
                      <w:rFonts w:ascii="Times New Roman" w:hAnsi="Times New Roman" w:eastAsia="바탕"/>
                      <w:sz w:val="18"/>
                    </w:rPr>
                    <w:t>Normal</w:t>
                  </w:r>
                </w:p>
              </w:tc>
            </w:tr>
            <w:tr>
              <w:tc>
                <w:tcPr>
                  <w:tcW w:type="dxa" w:w="4857"/>
                </w:tcPr>
                <w:p>
                  <w:r>
                    <w:rPr>
                      <w:rFonts w:ascii="Times New Roman" w:hAnsi="Times New Roman" w:eastAsia="바탕"/>
                      <w:sz w:val="18"/>
                    </w:rPr>
                    <w:t>Does the nutrition model (16 MB) respond</w:t>
                  </w:r>
                </w:p>
              </w:tc>
              <w:tc>
                <w:tcPr>
                  <w:tcW w:type="dxa" w:w="4857"/>
                </w:tcPr>
                <w:p>
                  <w:r>
                    <w:rPr>
                      <w:rFonts w:ascii="Times New Roman" w:hAnsi="Times New Roman" w:eastAsia="바탕"/>
                      <w:sz w:val="18"/>
                    </w:rPr>
                    <w:t>200 from cache</w:t>
                  </w:r>
                </w:p>
              </w:tc>
            </w:tr>
            <w:tr>
              <w:tc>
                <w:tcPr>
                  <w:tcW w:type="dxa" w:w="4857"/>
                </w:tcPr>
                <w:p>
                  <w:r>
                    <w:rPr>
                      <w:rFonts w:ascii="Times New Roman" w:hAnsi="Times New Roman" w:eastAsia="바탕"/>
                      <w:sz w:val="18"/>
                    </w:rPr>
                    <w:t>Does navigation work</w:t>
                  </w:r>
                </w:p>
              </w:tc>
              <w:tc>
                <w:tcPr>
                  <w:tcW w:type="dxa" w:w="4857"/>
                </w:tcPr>
                <w:p>
                  <w:r>
                    <w:rPr>
                      <w:rFonts w:ascii="Times New Roman" w:hAnsi="Times New Roman" w:eastAsia="바탕"/>
                      <w:sz w:val="18"/>
                    </w:rPr>
                    <w:t>Normal</w:t>
                  </w:r>
                </w:p>
              </w:tc>
            </w:tr>
          </w:tbl>
          <w:p/>
          <w:p>
            <w:pPr>
              <w:spacing w:after="120"/>
            </w:pPr>
          </w:p>
          <w:p>
            <w:pPr>
              <w:spacing w:after="80" w:line="276" w:lineRule="auto"/>
              <w:jc w:val="both"/>
            </w:pPr>
            <w:r>
              <w:rPr>
                <w:rFonts w:ascii="Times New Roman" w:hAnsi="Times New Roman" w:eastAsia="바탕"/>
                <w:sz w:val="20"/>
              </w:rPr>
              <w:t>In the course of this the model file was found to be missing from the service worker's cache list and was fixed. Before the fix, the computation ran on the device while the model to perform it could not be downloaded. Having a registered service worker and the app running end to end with the connection cut are different facts, and this defect would not have surfaced had only the former been checked.</w:t>
            </w:r>
          </w:p>
          <w:p>
            <w:pPr>
              <w:spacing w:after="80" w:line="276" w:lineRule="auto"/>
              <w:jc w:val="both"/>
            </w:pPr>
            <w:r>
              <w:rPr>
                <w:rFonts w:ascii="Times New Roman" w:hAnsi="Times New Roman" w:eastAsia="바탕"/>
                <w:sz w:val="20"/>
              </w:rPr>
              <w:t>What survives when the connection drops and what does not divides as follows. With the connection cut, prescriptions and nutrition labels are still read, because text recognition and form parsing run entirely on the device (§3.3). Food photograph estimation half survives. The on-device nutrition model runs from cache, but the vision model that identifies what the food is sits on the server, so values are produced while the item is treated as unrecognised and displayed as caution. Pictograms in the static list appear and ones that would have to be newly composed do not.</w:t>
            </w:r>
          </w:p>
          <w:p>
            <w:pPr>
              <w:spacing w:after="80" w:line="276" w:lineRule="auto"/>
              <w:jc w:val="both"/>
            </w:pPr>
            <w:r>
              <w:rPr>
                <w:rFonts w:ascii="Times New Roman" w:hAnsi="Times New Roman" w:eastAsia="바탕"/>
                <w:sz w:val="20"/>
              </w:rPr>
              <w:t>This division matches the boundary described in §4.5. The most urgent things were placed on the device, so what dies first when the connection drops is the least urgent route. This check was made by cutting the connection in developer tools, however, rather than measured in an actual low-bandwidth environment. Having no connection and having a slow one fail differently, and the latter has not yet been measured (§5.9).</w:t>
            </w:r>
          </w:p>
          <w:p>
            <w:pPr>
              <w:spacing w:after="80" w:line="276" w:lineRule="auto"/>
              <w:jc w:val="both"/>
            </w:pPr>
            <w:r>
              <w:rPr>
                <w:rFonts w:ascii="Times New Roman" w:hAnsi="Times New Roman" w:eastAsia="바탕"/>
                <w:sz w:val="20"/>
              </w:rPr>
              <w:t>What this measurement does not say is also recorded. Only a completely severed connection was measured, so as the fifth item of §5.9 records, a slow connection was not. And it was measured after the service worker had already filled its cache. Someone opening the app for the first time has to download 16 MB, and how long that download takes on the connections of the target regions was not measured either. What this section shows is behaviour after installation, not installation itself.</w:t>
            </w:r>
          </w:p>
          <w:p>
            <w:pPr>
              <w:spacing w:before="180" w:after="40"/>
            </w:pPr>
            <w:r>
              <w:rPr>
                <w:rFonts w:ascii="Times New Roman" w:hAnsi="Times New Roman" w:eastAsia="바탕"/>
                <w:b/>
                <w:sz w:val="23"/>
              </w:rPr>
              <w:t>5.7 Expert opinion survey</w:t>
            </w:r>
          </w:p>
          <w:p>
            <w:pPr>
              <w:spacing w:after="80" w:line="276" w:lineRule="auto"/>
              <w:jc w:val="both"/>
            </w:pPr>
            <w:r>
              <w:rPr>
                <w:rFonts w:ascii="Times New Roman" w:hAnsi="Times New Roman" w:eastAsia="바탕"/>
                <w:sz w:val="20"/>
              </w:rPr>
              <w:t xml:space="preserve">As stated in §5.4, every measurement up to this point has been a machine scoring a machine. So we asked people. The people we asked, however, are not low-literate patients but those who deal with such patients every day. Because that distinction matters, we state it first. </w:t>
            </w:r>
            <w:r>
              <w:rPr>
                <w:rFonts w:ascii="Times New Roman" w:hAnsi="Times New Roman" w:eastAsia="바탕"/>
                <w:b/>
                <w:sz w:val="20"/>
              </w:rPr>
              <w:t>This survey does not stand in for the comprehension testing of §5.9.</w:t>
            </w:r>
            <w:r>
              <w:rPr>
                <w:rFonts w:ascii="Times New Roman" w:hAnsi="Times New Roman" w:eastAsia="바탕"/>
                <w:sz w:val="20"/>
              </w:rPr>
              <w:t xml:space="preserve"> An expert answering that "a patient would probably be able to read this" does not mean a patient read it.</w:t>
            </w:r>
          </w:p>
          <w:p>
            <w:pPr>
              <w:spacing w:before="120" w:after="20"/>
            </w:pPr>
            <w:r>
              <w:rPr>
                <w:rFonts w:ascii="Times New Roman" w:hAnsi="Times New Roman" w:eastAsia="바탕"/>
                <w:b/>
                <w:sz w:val="21"/>
              </w:rPr>
              <w:t>5.7.1 How the list was built</w:t>
            </w:r>
          </w:p>
          <w:p>
            <w:pPr>
              <w:spacing w:after="80" w:line="276" w:lineRule="auto"/>
              <w:jc w:val="both"/>
            </w:pPr>
            <w:r>
              <w:rPr>
                <w:rFonts w:ascii="Times New Roman" w:hAnsi="Times New Roman" w:eastAsia="바탕"/>
                <w:sz w:val="20"/>
              </w:rPr>
              <w:t>The list was not built in one pass. It was researched separately across eight domains and then combined. Searching sequentially, one person carries the criteria of the first domain into the later ones and the sample tilts one way. Researching by domain means people are chosen by the standards of each field.</w:t>
            </w:r>
          </w:p>
          <w:p>
            <w:pPr>
              <w:spacing w:after="80" w:line="276" w:lineRule="auto"/>
              <w:jc w:val="both"/>
            </w:pPr>
            <w:r>
              <w:rPr>
                <w:rFonts w:ascii="Times New Roman" w:hAnsi="Times New Roman" w:eastAsia="바탕"/>
                <w:sz w:val="20"/>
              </w:rPr>
              <w:t>[Table 40] The eight domains of the list (846 in total)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Domain</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On what criteria they were chosen</w:t>
                  </w:r>
                </w:p>
              </w:tc>
            </w:tr>
            <w:tr>
              <w:tc>
                <w:tcPr>
                  <w:tcW w:type="dxa" w:w="3238"/>
                </w:tcPr>
                <w:p>
                  <w:r>
                    <w:rPr>
                      <w:rFonts w:ascii="Times New Roman" w:hAnsi="Times New Roman" w:eastAsia="바탕"/>
                      <w:sz w:val="18"/>
                    </w:rPr>
                    <w:t>Korean pharmacy schools</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8 with direct contact in counselling and patient communication, 16 in social pharmacy, 45 in clinical pharmacy and pharmacotherapy, 26 in pharmacoepidemiology, medicines policy and health informatics</w:t>
                  </w:r>
                </w:p>
              </w:tc>
            </w:tr>
            <w:tr>
              <w:tc>
                <w:tcPr>
                  <w:tcW w:type="dxa" w:w="3238"/>
                </w:tcPr>
                <w:p>
                  <w:r>
                    <w:rPr>
                      <w:rFonts w:ascii="Times New Roman" w:hAnsi="Times New Roman" w:eastAsia="바탕"/>
                      <w:sz w:val="18"/>
                    </w:rPr>
                    <w:t>Korean nursing and public health</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18 health-literacy researchers, 10 in digital and e-health literacy, 5 in migrant and multicultural health, 11 in gerontological and community nursing, 12 in health education and policy</w:t>
                  </w:r>
                </w:p>
              </w:tc>
            </w:tr>
            <w:tr>
              <w:tc>
                <w:tcPr>
                  <w:tcW w:type="dxa" w:w="3238"/>
                </w:tcPr>
                <w:p>
                  <w:r>
                    <w:rPr>
                      <w:rFonts w:ascii="Times New Roman" w:hAnsi="Times New Roman" w:eastAsia="바탕"/>
                      <w:sz w:val="18"/>
                    </w:rPr>
                    <w:t>Korean HCI and design</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23 core HCI, 21 information design, pictograms and universal design, 15 security and privacy, 6 voice and audio</w:t>
                  </w:r>
                </w:p>
              </w:tc>
            </w:tr>
            <w:tr>
              <w:tc>
                <w:tcPr>
                  <w:tcW w:type="dxa" w:w="3238"/>
                </w:tcPr>
                <w:p>
                  <w:r>
                    <w:rPr>
                      <w:rFonts w:ascii="Times New Roman" w:hAnsi="Times New Roman" w:eastAsia="바탕"/>
                      <w:sz w:val="18"/>
                    </w:rPr>
                    <w:t>Korean literacy and special education</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11 in AAC and graphic symbol design, 19 in adult literacy and lifelong education, 38 in intellectual disability and special-education technology, 5 in multicultural education</w:t>
                  </w:r>
                </w:p>
              </w:tc>
            </w:tr>
            <w:tr>
              <w:tc>
                <w:tcPr>
                  <w:tcW w:type="dxa" w:w="3238"/>
                </w:tcPr>
                <w:p>
                  <w:r>
                    <w:rPr>
                      <w:rFonts w:ascii="Times New Roman" w:hAnsi="Times New Roman" w:eastAsia="바탕"/>
                      <w:sz w:val="18"/>
                    </w:rPr>
                    <w:t>International pictogram research</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38 on pictogram comprehension and validation, 27 on medicine label comprehension and health literacy, 5 institutional addresses</w:t>
                  </w:r>
                </w:p>
              </w:tc>
            </w:tr>
            <w:tr>
              <w:tc>
                <w:tcPr>
                  <w:tcW w:type="dxa" w:w="3238"/>
                </w:tcPr>
                <w:p>
                  <w:r>
                    <w:rPr>
                      <w:rFonts w:ascii="Times New Roman" w:hAnsi="Times New Roman" w:eastAsia="바탕"/>
                      <w:sz w:val="18"/>
                    </w:rPr>
                    <w:t>International pharmacy</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By department rather than by individual. Utrecht 71, Ohio State 30, Nottingham 25, Western Cape 17 and others</w:t>
                  </w:r>
                </w:p>
              </w:tc>
            </w:tr>
            <w:tr>
              <w:tc>
                <w:tcPr>
                  <w:tcW w:type="dxa" w:w="3238"/>
                </w:tcPr>
                <w:p>
                  <w:r>
                    <w:rPr>
                      <w:rFonts w:ascii="Times New Roman" w:hAnsi="Times New Roman" w:eastAsia="바탕"/>
                      <w:sz w:val="18"/>
                    </w:rPr>
                    <w:t>International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12 on text-free UI, low literacy and ICT4D, 13 on pictogram comprehension, 16 on AAC and graphic symbol systems, 18 on accessibility, 9 on plain language</w:t>
                  </w:r>
                </w:p>
              </w:tc>
            </w:tr>
            <w:tr>
              <w:tc>
                <w:tcPr>
                  <w:tcW w:type="dxa" w:w="3238"/>
                </w:tcPr>
                <w:p>
                  <w:r>
                    <w:rPr>
                      <w:rFonts w:ascii="Times New Roman" w:hAnsi="Times New Roman" w:eastAsia="바탕"/>
                      <w:sz w:val="18"/>
                    </w:rPr>
                    <w:t>International organisations</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 UNESCO, UNICEF and others. 91 addresses confirmed, 17 with a contact form only or unpublished</w:t>
                  </w:r>
                </w:p>
              </w:tc>
            </w:tr>
          </w:tbl>
          <w:p/>
          <w:p>
            <w:pPr>
              <w:spacing w:after="120"/>
            </w:pPr>
          </w:p>
          <w:p>
            <w:pPr>
              <w:spacing w:after="80" w:line="276" w:lineRule="auto"/>
              <w:jc w:val="both"/>
            </w:pPr>
            <w:r>
              <w:rPr>
                <w:rFonts w:ascii="Times New Roman" w:hAnsi="Times New Roman" w:eastAsia="바탕"/>
                <w:sz w:val="20"/>
              </w:rPr>
              <w:t>The eight domains sum to 846. The remaining 257 came from the regional expansion described below, bringing the final list to 1,103.</w:t>
            </w:r>
          </w:p>
          <w:p>
            <w:pPr>
              <w:spacing w:after="80" w:line="276" w:lineRule="auto"/>
              <w:jc w:val="both"/>
            </w:pPr>
            <w:r>
              <w:rPr>
                <w:rFonts w:ascii="Times New Roman" w:hAnsi="Times New Roman" w:eastAsia="바탕"/>
                <w:sz w:val="20"/>
              </w:rPr>
              <w:t>Each domain is further divided into priority bands, and the name of the band is itself the selection criterion for that domain. The top band for Korean nursing and public health, for example, is named "people who research health literacy itself", and the reason for writing that criterion was to have the premise of §1.2 examined.</w:t>
            </w:r>
          </w:p>
          <w:p>
            <w:pPr>
              <w:spacing w:after="80" w:line="276" w:lineRule="auto"/>
              <w:jc w:val="both"/>
            </w:pPr>
            <w:r>
              <w:rPr>
                <w:rFonts w:ascii="Times New Roman" w:hAnsi="Times New Roman" w:eastAsia="바탕"/>
                <w:sz w:val="20"/>
              </w:rPr>
              <w:t xml:space="preserve">A source URL was recorded for every entry: 599 of them, 296 unique, across 169 hosts. The leading hosts are </w:t>
            </w:r>
            <w:r>
              <w:rPr>
                <w:rFonts w:ascii="Consolas" w:hAnsi="Consolas" w:eastAsia="Consolas"/>
                <w:sz w:val="19"/>
              </w:rPr>
              <w:t>pmc.ncbi.nlm.nih.gov</w:t>
            </w:r>
            <w:r>
              <w:rPr>
                <w:rFonts w:ascii="Times New Roman" w:hAnsi="Times New Roman" w:eastAsia="바탕"/>
                <w:sz w:val="20"/>
              </w:rPr>
              <w:t xml:space="preserve"> with 94, where corresponding-author addresses were confirmed from papers, the Moldovan Ministry of Health public directory with 32, and </w:t>
            </w:r>
            <w:r>
              <w:rPr>
                <w:rFonts w:ascii="Consolas" w:hAnsi="Consolas" w:eastAsia="Consolas"/>
                <w:sz w:val="19"/>
              </w:rPr>
              <w:t>who.int</w:t>
            </w:r>
            <w:r>
              <w:rPr>
                <w:rFonts w:ascii="Times New Roman" w:hAnsi="Times New Roman" w:eastAsia="바탕"/>
                <w:sz w:val="20"/>
              </w:rPr>
              <w:t xml:space="preserve"> with 11.</w:t>
            </w:r>
          </w:p>
          <w:p>
            <w:pPr>
              <w:spacing w:after="80" w:line="276" w:lineRule="auto"/>
              <w:jc w:val="both"/>
            </w:pPr>
            <w:r>
              <w:rPr>
                <w:rFonts w:ascii="Times New Roman" w:hAnsi="Times New Roman" w:eastAsia="바탕"/>
                <w:sz w:val="20"/>
              </w:rPr>
              <w:t xml:space="preserve">Where an address could not be found it was not invented but left in a separate band. Fourteen from Korean pharmacy schools, 8 from Korean nursing and public health, 15 from Korean HCI, 17 from Korean literacy and special education, 8 from international pictogram research and 17 international organisations were classified this way and excluded from sending. The corresponding band in the international-organisations sheet is named </w:t>
            </w:r>
            <w:r>
              <w:rPr>
                <w:rFonts w:ascii="Consolas" w:hAnsi="Consolas" w:eastAsia="Consolas"/>
                <w:sz w:val="19"/>
              </w:rPr>
              <w:t>Contact-form-only or address-not-published (no address fabricated)</w:t>
            </w:r>
            <w:r>
              <w:rPr>
                <w:rFonts w:ascii="Times New Roman" w:hAnsi="Times New Roman" w:eastAsia="바탕"/>
                <w:sz w:val="20"/>
              </w:rPr>
              <w:t>.</w:t>
            </w:r>
          </w:p>
          <w:p>
            <w:pPr>
              <w:spacing w:after="80" w:line="276" w:lineRule="auto"/>
              <w:jc w:val="both"/>
            </w:pPr>
            <w:r>
              <w:rPr>
                <w:rFonts w:ascii="Times New Roman" w:hAnsi="Times New Roman" w:eastAsia="바탕"/>
                <w:sz w:val="20"/>
              </w:rPr>
              <w:t>The initial list leaned towards Korea and the English-speaking world. Since this app claims not to be for one particular region (§1.2), we judged that the people reviewing it should not be concentrated in one country either, and researched and added 105 in Eastern Europe, 100 in the Middle East and North Africa, 96 in South Asia, 50 in Latin America, 49 in Southeast Asia and 47 in Africa. Those six groups come to 447, 40.5% of the whole. That responses arrived from five continents is the result of this step.</w:t>
            </w:r>
          </w:p>
          <w:p>
            <w:pPr>
              <w:spacing w:after="80" w:line="276" w:lineRule="auto"/>
              <w:jc w:val="both"/>
            </w:pPr>
            <w:r>
              <w:rPr>
                <w:rFonts w:ascii="Times New Roman" w:hAnsi="Times New Roman" w:eastAsia="바탕"/>
                <w:sz w:val="20"/>
              </w:rPr>
              <w:t>Moldova was a judgement call. Thirty-one addresses were obtained from the Ministry of Health directory and only three were used. Thirty-one messages leaving for one ministry at once reads as spam in itself, and we judged it would not serve the team's Moldovan working relationships either.</w:t>
            </w:r>
          </w:p>
          <w:p>
            <w:pPr>
              <w:spacing w:after="80" w:line="276" w:lineRule="auto"/>
              <w:jc w:val="both"/>
            </w:pPr>
            <w:r>
              <w:rPr>
                <w:rFonts w:ascii="Times New Roman" w:hAnsi="Times New Roman" w:eastAsia="바탕"/>
                <w:sz w:val="20"/>
              </w:rPr>
              <w:t>We wrote down separate rules for handling the list. Taking Article 50-2 of the Korean Act on Promotion of Information and Communications Network Utilisation (prohibition of unauthorised collection of email addresses) as the basis, we set out that messages would be sent individually rather than with several recipients on one message, that the list would not leave the team, that addresses obtained from pages posting a refusal of collection would be excluded from sending, and that no one would be contacted a second time if they did not reply. That no address from the two institutions confirmed to have posted such a refusal remained among the recipients was verified against both the domain and the affiliation string, and the count was zero.</w:t>
            </w:r>
          </w:p>
          <w:p>
            <w:pPr>
              <w:spacing w:after="80" w:line="276" w:lineRule="auto"/>
              <w:jc w:val="both"/>
            </w:pPr>
            <w:r>
              <w:rPr>
                <w:rFonts w:ascii="Times New Roman" w:hAnsi="Times New Roman" w:eastAsia="바탕"/>
                <w:sz w:val="20"/>
              </w:rPr>
              <w:t>Each recipient was assigned a ten-character token derived from their email address. The token alone identifies no one, and the table linking tokens to people exists only in a spreadsheet in our own hands. The response server stores only tokens, and because the folder holding the list was excluded when the Docker image was built, the server does not hold the list at all. That the deployed image contains no list was verified by connecting to it.</w:t>
            </w:r>
          </w:p>
          <w:p>
            <w:pPr>
              <w:spacing w:before="120" w:after="20"/>
            </w:pPr>
            <w:r>
              <w:rPr>
                <w:rFonts w:ascii="Times New Roman" w:hAnsi="Times New Roman" w:eastAsia="바탕"/>
                <w:b/>
                <w:sz w:val="21"/>
              </w:rPr>
              <w:t>5.7.2 How it was sent</w:t>
            </w:r>
          </w:p>
          <w:p>
            <w:pPr>
              <w:spacing w:after="80" w:line="276" w:lineRule="auto"/>
              <w:jc w:val="both"/>
            </w:pPr>
            <w:r>
              <w:rPr>
                <w:rFonts w:ascii="Times New Roman" w:hAnsi="Times New Roman" w:eastAsia="바탕"/>
                <w:sz w:val="20"/>
              </w:rPr>
              <w:t>Between 04:48 and 07:50 on 31 July 2026, over 182 minutes, 1,103 messages were sent one at a time. The mean interval was 9.9 seconds and no address was rejected. Bulk mail and blind copy were not used because the rules forbid addresses being exposed to one another and because the link carries a different token for each person, so several people cannot share one message.</w:t>
            </w:r>
          </w:p>
          <w:p>
            <w:pPr>
              <w:spacing w:after="80" w:line="276" w:lineRule="auto"/>
              <w:jc w:val="both"/>
            </w:pPr>
            <w:r>
              <w:rPr>
                <w:rFonts w:ascii="Times New Roman" w:hAnsi="Times New Roman" w:eastAsia="바탕"/>
                <w:sz w:val="20"/>
              </w:rPr>
              <w:t xml:space="preserve">A delivery service was not used; the SMTP of a personal mail account was. A delivery service can send 1,103 messages in minutes, but it needs a domain on which SPF and DKIM can be configured, and ours is </w:t>
            </w:r>
            <w:r>
              <w:rPr>
                <w:rFonts w:ascii="Consolas" w:hAnsi="Consolas" w:eastAsia="Consolas"/>
                <w:sz w:val="19"/>
              </w:rPr>
              <w:t>snapcare.fly.dev</w:t>
            </w:r>
            <w:r>
              <w:rPr>
                <w:rFonts w:ascii="Times New Roman" w:hAnsi="Times New Roman" w:eastAsia="바탕"/>
                <w:sz w:val="20"/>
              </w:rPr>
              <w:t>, a subdomain to which DNS records cannot be attached. Even buying a new domain, sending 1,103 messages from a freshly created domain to university and government mail servers gets filtered harder. Fast, and worse at arriving.</w:t>
            </w:r>
          </w:p>
          <w:p>
            <w:pPr>
              <w:spacing w:after="80" w:line="276" w:lineRule="auto"/>
              <w:jc w:val="both"/>
            </w:pPr>
            <w:r>
              <w:rPr>
                <w:rFonts w:ascii="Times New Roman" w:hAnsi="Times New Roman" w:eastAsia="바탕"/>
                <w:sz w:val="20"/>
              </w:rPr>
              <w:t>The daily sending limit was not guessed at, because it is not published. Instead the program was built not to die when blocked, and run once. It writes each person to a file and flushes to disk as it goes, so a run cut short can be resumed. The record is written immediately after sending: if we recorded first and the send then failed, that person would never receive it, whereas sending first and failing to record means they might receive it once more, which we judged the less bad tail. A temporary rejection waits and retries with a growing delay, a non-existent address is counted and passed over, and three failures on one message is taken as the account being blocked and stops the run.</w:t>
            </w:r>
          </w:p>
          <w:p>
            <w:pPr>
              <w:spacing w:after="80" w:line="276" w:lineRule="auto"/>
              <w:jc w:val="both"/>
            </w:pPr>
            <w:r>
              <w:rPr>
                <w:rFonts w:ascii="Times New Roman" w:hAnsi="Times New Roman" w:eastAsia="바탕"/>
                <w:sz w:val="20"/>
              </w:rPr>
              <w:t>The 41 people with the clearest selection basis were put at the front of the sending order. The list is not ordered by rank, so sending it as it stood would have scattered them across three hours, and an account blocked partway would have meant some of them never receiving it. Changing only the order removes that risk. All 41 were in fact sent within the first seven minutes.</w:t>
            </w:r>
          </w:p>
          <w:p>
            <w:pPr>
              <w:spacing w:after="80" w:line="276" w:lineRule="auto"/>
              <w:jc w:val="both"/>
            </w:pPr>
            <w:r>
              <w:rPr>
                <w:rFonts w:ascii="Times New Roman" w:hAnsi="Times New Roman" w:eastAsia="바탕"/>
                <w:sz w:val="20"/>
              </w:rPr>
              <w:t>We decided the language from the email top-level domain alone. Searching the affiliation string for a country name was not used. If the selection-reason field contains "Moldova", WHO and a Portuguese researcher are caught as Moldovan too; tested that way it caught 30 people, a good number of them misclassified. By domain alone it yields 34, all of them genuinely Romanian-language institutions.</w:t>
            </w:r>
          </w:p>
          <w:p>
            <w:pPr>
              <w:spacing w:after="80" w:line="276" w:lineRule="auto"/>
              <w:jc w:val="both"/>
            </w:pPr>
            <w:r>
              <w:rPr>
                <w:rFonts w:ascii="Times New Roman" w:hAnsi="Times New Roman" w:eastAsia="바탕"/>
                <w:sz w:val="20"/>
              </w:rPr>
              <w:t xml:space="preserve">The subject line was revised three times. It began with </w:t>
            </w:r>
            <w:r>
              <w:rPr>
                <w:rFonts w:ascii="Consolas" w:hAnsi="Consolas" w:eastAsia="Consolas"/>
                <w:sz w:val="19"/>
              </w:rPr>
              <w:t>SnapCare</w:t>
            </w:r>
            <w:r>
              <w:rPr>
                <w:rFonts w:ascii="Times New Roman" w:hAnsi="Times New Roman" w:eastAsia="바탕"/>
                <w:sz w:val="20"/>
              </w:rPr>
              <w:t>, but that name means nothing to the recipient, and a subject beginning with an unfamiliar name reads as advertising. The next version put a ministry name in square brackets at the front, which was worse. It reads as an official letter from an institution rather than a student asking for advice, and gives the impression of borrowing that authority. The final version drops the brackets and leads with the name of the contest alone.</w:t>
            </w:r>
          </w:p>
          <w:p>
            <w:pPr>
              <w:spacing w:after="80" w:line="276" w:lineRule="auto"/>
              <w:jc w:val="both"/>
            </w:pPr>
            <w:r>
              <w:rPr>
                <w:rFonts w:ascii="Times New Roman" w:hAnsi="Times New Roman" w:eastAsia="바탕"/>
                <w:sz w:val="20"/>
              </w:rPr>
              <w:t>There is judgement in what was taken out of the body as well. The draft carried "I am asking those who have worked on medication guidance and low-literate users," but the 1,103 include professors of computer science and legal scholars, so for many of them it is not true. Reading something at odds with your own career makes you disbelieve the rest of the sentences too. It was changed to "I am writing after reading your published research and work." That is true of everyone and also answers "why me."</w:t>
            </w:r>
          </w:p>
          <w:p>
            <w:pPr>
              <w:spacing w:after="80" w:line="276" w:lineRule="auto"/>
              <w:jc w:val="both"/>
            </w:pPr>
            <w:r>
              <w:rPr>
                <w:rFonts w:ascii="Times New Roman" w:hAnsi="Times New Roman" w:eastAsia="바탕"/>
                <w:sz w:val="20"/>
              </w:rPr>
              <w:t>A plain-text version was sent alongside the HTML one. In a text-only message the address cannot be tapped and has to be copied by hand, and some people stop there. The HTML version contains no images and no tracking pixel. Anything fetched from outside raises the chance of being caught as spam, and there is no need to know who opened it.</w:t>
            </w:r>
          </w:p>
          <w:p>
            <w:pPr>
              <w:spacing w:after="80" w:line="276" w:lineRule="auto"/>
              <w:jc w:val="both"/>
            </w:pPr>
            <w:r>
              <w:rPr>
                <w:rFonts w:ascii="Times New Roman" w:hAnsi="Times New Roman" w:eastAsia="바탕"/>
                <w:sz w:val="20"/>
              </w:rPr>
              <w:t>A test send before the run caught three defects: greetings for 63 international recipients that would have gone out with Korean mixed in, message generation dying with an exception in header handling, and links that could not be clicked.</w:t>
            </w:r>
          </w:p>
          <w:p>
            <w:pPr>
              <w:spacing w:after="80" w:line="276" w:lineRule="auto"/>
              <w:jc w:val="both"/>
            </w:pPr>
            <w:r>
              <w:rPr>
                <w:rFonts w:ascii="Times New Roman" w:hAnsi="Times New Roman" w:eastAsia="바탕"/>
                <w:sz w:val="20"/>
              </w:rPr>
              <w:t>The survey is three screens: consent, a screen showing what we built, and the questions for the field the respondent selected. The second screen places two sample prescriptions beside the result of passing them through the engine. The DSL shown there is the engine's actual output, not something a person wrote. It was written by hand at first, and that produced five lines; putting the same prescription through the engine produced ten. Finish-the-course, no-alcohol, pregnancy contraindication and breastfeeding caution had been missing from the hand-written version. One ends up showing only what one wants to show.</w:t>
            </w:r>
          </w:p>
          <w:p>
            <w:pPr>
              <w:spacing w:after="80" w:line="276" w:lineRule="auto"/>
              <w:jc w:val="both"/>
            </w:pPr>
            <w:r>
              <w:rPr>
                <w:rFonts w:ascii="Times New Roman" w:hAnsi="Times New Roman" w:eastAsia="바탕"/>
                <w:sz w:val="20"/>
              </w:rPr>
              <w:t>The answer options always kept a choice that is unfavourable to us: "there is nowhere to put it", "it is fundamentally wrong-headed", and "that there is no validation". We judged that having those answers come back was better than learning it after the contest.</w:t>
            </w:r>
          </w:p>
          <w:p>
            <w:pPr>
              <w:spacing w:after="80" w:line="276" w:lineRule="auto"/>
              <w:jc w:val="both"/>
            </w:pPr>
            <w:r>
              <w:rPr>
                <w:rFonts w:ascii="Times New Roman" w:hAnsi="Times New Roman" w:eastAsia="바탕"/>
                <w:sz w:val="20"/>
              </w:rPr>
              <w:t>We left a morpheme comprehension test out of the survey. A professor reading our pictograms does not mean a low-literate patient reads them, and writing that number down as meeting the ISO 67% criterion would state something untrue.</w:t>
            </w:r>
          </w:p>
          <w:p>
            <w:pPr>
              <w:spacing w:before="120" w:after="20"/>
            </w:pPr>
            <w:r>
              <w:rPr>
                <w:rFonts w:ascii="Times New Roman" w:hAnsi="Times New Roman" w:eastAsia="바탕"/>
                <w:b/>
                <w:sz w:val="21"/>
              </w:rPr>
              <w:t>5.7.3 Who answered</w:t>
            </w:r>
          </w:p>
          <w:p>
            <w:pPr>
              <w:spacing w:after="80" w:line="276" w:lineRule="auto"/>
              <w:jc w:val="both"/>
            </w:pPr>
            <w:r>
              <w:rPr>
                <w:rFonts w:ascii="Times New Roman" w:hAnsi="Times New Roman" w:eastAsia="바탕"/>
                <w:sz w:val="20"/>
              </w:rPr>
              <w:t>As of 3 August 2026, 39 people had answered: 3.5% of those contacted, with 124 free-text responses alongside.</w:t>
            </w:r>
          </w:p>
          <w:p>
            <w:pPr>
              <w:spacing w:after="80" w:line="276" w:lineRule="auto"/>
              <w:jc w:val="both"/>
            </w:pPr>
            <w:r>
              <w:rPr>
                <w:rFonts w:ascii="Times New Roman" w:hAnsi="Times New Roman" w:eastAsia="바탕"/>
                <w:sz w:val="20"/>
              </w:rPr>
              <w:t>[Table 41] Composition of respondents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and medication counselling practice</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 and design</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Nursing and public health</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Adult literacy education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 and special education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Industry practice</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5_survey_who.png"/>
                          <pic:cNvPicPr/>
                        </pic:nvPicPr>
                        <pic:blipFill>
                          <a:blip r:embed="rId5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40]</w:t>
            </w:r>
            <w:r>
              <w:rPr>
                <w:rFonts w:ascii="Times New Roman" w:hAnsi="Times New Roman" w:eastAsia="바탕"/>
                <w:color w:val="606068"/>
                <w:sz w:val="18"/>
              </w:rPr>
              <w:t xml:space="preserve"> The composition of the 39 respondents. Field on the left, continent on the right. Pharmacy and nursing account for more than half at 22 people, and these two are the centre of the five segments we judged qualified to view the demonstration and rule on patient comprehension. That Asia accounts for 27 reflects exactly the order in which the list was built, starting in Korea and widening region by region.</w:t>
            </w:r>
          </w:p>
          <w:p>
            <w:pPr>
              <w:spacing w:after="80" w:line="276" w:lineRule="auto"/>
              <w:jc w:val="both"/>
            </w:pPr>
            <w:r>
              <w:rPr>
                <w:rFonts w:ascii="Times New Roman" w:hAnsi="Times New Roman" w:eastAsia="바탕"/>
                <w:sz w:val="20"/>
              </w:rPr>
              <w:t>The countries respondents recorded as working in span 22 countries across five continents, with 20 recording Korea only. All respondents consented to being quoted by name and affiliation, so they are recorded here as given.</w:t>
            </w:r>
          </w:p>
          <w:p>
            <w:pPr>
              <w:spacing w:after="80" w:line="276" w:lineRule="auto"/>
              <w:jc w:val="both"/>
            </w:pPr>
            <w:r>
              <w:rPr>
                <w:rFonts w:ascii="Times New Roman" w:hAnsi="Times New Roman" w:eastAsia="바탕"/>
                <w:sz w:val="20"/>
              </w:rPr>
              <w:t>[Table 42] The 39 respondents (all consented to being named with their affiliation)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Name</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Country</w:t>
                  </w:r>
                </w:p>
              </w:tc>
            </w:tr>
            <w:tr>
              <w:tc>
                <w:tcPr>
                  <w:tcW w:type="dxa" w:w="2429"/>
                </w:tcPr>
                <w:p>
                  <w:r>
                    <w:rPr>
                      <w:rFonts w:ascii="Times New Roman" w:hAnsi="Times New Roman" w:eastAsia="바탕"/>
                      <w:b/>
                      <w:sz w:val="18"/>
                    </w:rPr>
                    <w:t>Pharmacy and medication counselling practice (13)</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College of Pharmacy, 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College of Pharmacy,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Dongmun Ha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Mokpo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Indonesia</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Nigeria</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Pakistan and Malaysia</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Serbia</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United States</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Malaysia</w:t>
                  </w:r>
                </w:p>
              </w:tc>
            </w:tr>
            <w:tr>
              <w:tc>
                <w:tcPr>
                  <w:tcW w:type="dxa" w:w="2429"/>
                </w:tcPr>
                <w:p>
                  <w:r>
                    <w:rPr>
                      <w:rFonts w:ascii="Times New Roman" w:hAnsi="Times New Roman" w:eastAsia="바탕"/>
                      <w:b/>
                      <w:sz w:val="18"/>
                    </w:rPr>
                    <w:t>Nursing and public health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Republic of Korea, Japan and Taiwan</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Singapore</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South Africa</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Tunisia</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Bangladesh</w:t>
                  </w:r>
                </w:p>
              </w:tc>
            </w:tr>
            <w:tr>
              <w:tc>
                <w:tcPr>
                  <w:tcW w:type="dxa" w:w="2429"/>
                </w:tcPr>
                <w:p>
                  <w:r>
                    <w:rPr>
                      <w:rFonts w:ascii="Times New Roman" w:hAnsi="Times New Roman" w:eastAsia="바탕"/>
                      <w:b/>
                      <w:sz w:val="18"/>
                    </w:rPr>
                    <w:t>AAC and special education · adult literacy · HCI and design · industry practice (7)</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United Kingdom</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Youngchan Kim</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Seunghoon Jung</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Korea · China · Japan · Middle East</w:t>
                  </w:r>
                </w:p>
              </w:tc>
            </w:tr>
            <w:tr>
              <w:tc>
                <w:tcPr>
                  <w:tcW w:type="dxa" w:w="2429"/>
                </w:tcPr>
                <w:p>
                  <w:r>
                    <w:rPr>
                      <w:rFonts w:ascii="Times New Roman" w:hAnsi="Times New Roman" w:eastAsia="바탕"/>
                      <w:b/>
                      <w:sz w:val="18"/>
                    </w:rPr>
                    <w:t>Other (10)</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Youngmee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Department of Communication Disorders,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Ukraine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Portugal</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Australia</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Hungary</w:t>
                  </w:r>
                </w:p>
              </w:tc>
            </w:tr>
          </w:tbl>
          <w:p/>
          <w:p>
            <w:pPr>
              <w:spacing w:after="120"/>
            </w:pPr>
          </w:p>
          <w:p>
            <w:pPr>
              <w:spacing w:after="80" w:line="276" w:lineRule="auto"/>
              <w:jc w:val="both"/>
            </w:pPr>
            <w:r>
              <w:rPr>
                <w:rFonts w:ascii="Times New Roman" w:hAnsi="Times New Roman" w:eastAsia="바탕"/>
                <w:sz w:val="20"/>
              </w:rPr>
              <w:t>Half the respondents work outside Korea. Since this app claims not to be for one particular region (§1.2), we judged that the people reviewing it should not be concentrated in one country either, and when building the list we separately researched and added groups for Eastern Europe, the Middle East and North Africa, South Asia, Latin America, Southeast Asia and Africa. Those groups are 40.5% of the 1,103.</w:t>
            </w:r>
          </w:p>
          <w:p>
            <w:pPr>
              <w:spacing w:after="80" w:line="276" w:lineRule="auto"/>
              <w:jc w:val="both"/>
            </w:pPr>
            <w:r>
              <w:rPr>
                <w:rFonts w:ascii="Times New Roman" w:hAnsi="Times New Roman" w:eastAsia="바탕"/>
                <w:sz w:val="20"/>
              </w:rPr>
              <w:t>One thing has to be set down here. Forty-three percent of respondents (15 people) answered that they "almost never" encounter someone unable to read a written medication instruction. Four answered that they encounter such a person almost daily. And one respondent pointed this out directly. It means the answers to this question are themselves evidence about the premise of §1.1, and not in a direction that favours us.</w:t>
            </w:r>
          </w:p>
          <w:p>
            <w:pPr>
              <w:spacing w:before="120" w:after="20"/>
            </w:pPr>
            <w:r>
              <w:rPr>
                <w:rFonts w:ascii="Times New Roman" w:hAnsi="Times New Roman" w:eastAsia="바탕"/>
                <w:b/>
                <w:sz w:val="21"/>
              </w:rPr>
              <w:t>5.7.4 What they answered</w:t>
            </w:r>
          </w:p>
          <w:p>
            <w:pPr>
              <w:spacing w:after="80" w:line="276" w:lineRule="auto"/>
              <w:jc w:val="both"/>
            </w:pPr>
            <w:r>
              <w:rPr>
                <w:rFonts w:ascii="Times New Roman" w:hAnsi="Times New Roman" w:eastAsia="바탕"/>
                <w:sz w:val="20"/>
              </w:rPr>
              <w:t>The questions calling for a judgement on the demonstration were attached to five segments only. They were not attached to the law, standards and industry segments. Ruling on patient comprehension is not something that can be done from those positions, and mixing unqualified answers into the denominator makes the resulting proportion a proportion of nothing.</w:t>
            </w:r>
          </w:p>
          <w:p>
            <w:pPr>
              <w:spacing w:after="80" w:line="276" w:lineRule="auto"/>
              <w:jc w:val="both"/>
            </w:pPr>
            <w:r>
              <w:rPr>
                <w:rFonts w:ascii="Times New Roman" w:hAnsi="Times New Roman" w:eastAsia="바탕"/>
                <w:sz w:val="20"/>
              </w:rPr>
              <w:t>[Table 43] Could a patient who cannot read take their medicine correctly, alone, with only these screens? (five qualified segments,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Answer</w:t>
                  </w:r>
                </w:p>
              </w:tc>
              <w:tc>
                <w:tcPr>
                  <w:tcW w:type="dxa" w:w="4857"/>
                  <w:shd w:val="clear" w:fill="F2F2F2"/>
                </w:tcPr>
                <w:p>
                  <w:r>
                    <w:rPr>
                      <w:rFonts w:ascii="Times New Roman" w:hAnsi="Times New Roman" w:eastAsia="바탕"/>
                      <w:b/>
                      <w:sz w:val="18"/>
                    </w:rPr>
                    <w:t>Responses</w:t>
                  </w:r>
                </w:p>
              </w:tc>
            </w:tr>
            <w:tr>
              <w:tc>
                <w:tcPr>
                  <w:tcW w:type="dxa" w:w="4857"/>
                </w:tcPr>
                <w:p>
                  <w:r>
                    <w:rPr>
                      <w:rFonts w:ascii="Times New Roman" w:hAnsi="Times New Roman" w:eastAsia="바탕"/>
                      <w:sz w:val="18"/>
                    </w:rPr>
                    <w:t>Partly. Some of it would work and some would not</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Yes, it probably could</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No basis on which to judge</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No</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The zero for "No" and the two thirds for "Partly" have to be read together. No one answered that the approach itself is wrong, and only a few answered that it is sufficient as it stands. Of the five who answered the broad question across the five segments, four chose "that there is no validation with people" as the first thing to resolve.</w:t>
            </w:r>
          </w:p>
          <w:p>
            <w:pPr>
              <w:spacing w:after="80" w:line="276" w:lineRule="auto"/>
              <w:jc w:val="both"/>
            </w:pPr>
            <w:r>
              <w:rPr>
                <w:rFonts w:ascii="Times New Roman" w:hAnsi="Times New Roman" w:eastAsia="바탕"/>
                <w:sz w:val="20"/>
              </w:rPr>
              <w:t>In the pharmacy segment, 9 of 12 answered that a pharmacist should review the instructions this app produces every time, with 3 answering that once at the start is enough. As to where it belongs, 7 chose a tool supporting the pharmacist's explanation, 3 a means for the patient to check alone at home, and 2 an alternative route for patients a pharmacist cannot reach. As to what must not be wrong medically, 7 named dose and frequency, 3 named contraindications and interactions, and one each named route of administration and not stopping early.</w:t>
            </w:r>
          </w:p>
          <w:p>
            <w:pPr>
              <w:spacing w:after="80" w:line="276" w:lineRule="auto"/>
              <w:jc w:val="both"/>
            </w:pPr>
            <w:r>
              <w:rPr>
                <w:rFonts w:ascii="Times New Roman" w:hAnsi="Times New Roman" w:eastAsia="바탕"/>
                <w:sz w:val="20"/>
              </w:rPr>
              <w:t>In the nursing and public health segment, asked whether it can change health outcomes, 8 of 9 answered that it can once the conditions are met, and one answered differently. Professor Raghupathy Anchala of the Public Health Foundation of India judged that dosing behaviour might change but not outcomes. It sits in the same place as the third item in §5.9, where we record that we make no claim about clinical outcomes, and although the split is eight to one, the side this document stands on is the one.</w:t>
            </w:r>
          </w:p>
          <w:p>
            <w:pPr>
              <w:spacing w:after="80" w:line="276" w:lineRule="auto"/>
              <w:jc w:val="both"/>
            </w:pPr>
            <w:r>
              <w:rPr>
                <w:rFonts w:ascii="Times New Roman" w:hAnsi="Times New Roman" w:eastAsia="바탕"/>
                <w:sz w:val="20"/>
              </w:rPr>
              <w:t>In the nursing and public health segment, 6 of 9 answered that the patient and the carer should be designed for separately. This app is designed on the premise that the patient uses it alone, so what was caught is the premise rather than a feature.</w:t>
            </w:r>
          </w:p>
          <w:p>
            <w:pPr>
              <w:spacing w:before="120" w:after="20"/>
            </w:pPr>
            <w:r>
              <w:rPr>
                <w:rFonts w:ascii="Times New Roman" w:hAnsi="Times New Roman" w:eastAsia="바탕"/>
                <w:b/>
                <w:sz w:val="21"/>
              </w:rPr>
              <w:t>5.7.5 How far the numbers can be pushed</w:t>
            </w:r>
          </w:p>
          <w:p>
            <w:pPr>
              <w:spacing w:after="80" w:line="276" w:lineRule="auto"/>
              <w:jc w:val="both"/>
            </w:pPr>
            <w:r>
              <w:rPr>
                <w:rFonts w:ascii="Times New Roman" w:hAnsi="Times New Roman" w:eastAsia="바탕"/>
                <w:sz w:val="20"/>
              </w:rPr>
              <w:t>The sample is small. The judgement question went only to the five qualified segments, so n = 25 there, and questions taking all respondents as the denominator have n = 35. So rather than recording proportions alone we record how much those proportions move. The intervals below are 95% confidence intervals by the Wilson method. With a small sample the normal approximation produces intervals dropping below 0 or exceeding 1; Wilson does not.</w:t>
            </w:r>
          </w:p>
          <w:p>
            <w:pPr>
              <w:spacing w:after="80" w:line="276" w:lineRule="auto"/>
              <w:jc w:val="both"/>
            </w:pPr>
            <w:r>
              <w:rPr>
                <w:rFonts w:ascii="Times New Roman" w:hAnsi="Times New Roman" w:eastAsia="바탕"/>
                <w:sz w:val="20"/>
              </w:rPr>
              <w:t>[Table 44] Proportions and 95% confidence intervals for the judgement question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Proportion</w:t>
                  </w:r>
                </w:p>
              </w:tc>
              <w:tc>
                <w:tcPr>
                  <w:tcW w:type="dxa" w:w="2429"/>
                  <w:shd w:val="clear" w:fill="F2F2F2"/>
                </w:tcPr>
                <w:p>
                  <w:r>
                    <w:rPr>
                      <w:rFonts w:ascii="Times New Roman" w:hAnsi="Times New Roman" w:eastAsia="바탕"/>
                      <w:b/>
                      <w:sz w:val="18"/>
                    </w:rPr>
                    <w:t>95% CI</w:t>
                  </w:r>
                </w:p>
              </w:tc>
            </w:tr>
            <w:tr>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Yes, it probably could</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No basis on which to judge</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0_survey.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41]</w:t>
            </w:r>
            <w:r>
              <w:rPr>
                <w:rFonts w:ascii="Times New Roman" w:hAnsi="Times New Roman" w:eastAsia="바탕"/>
                <w:color w:val="606068"/>
                <w:sz w:val="18"/>
              </w:rPr>
              <w:t xml:space="preserve"> Proportions and 95% confidence intervals for the judgement question (n = 25). The dot is the proportion, the line is the interval. The width of the intervals is the size of this sample, and what to read in this figure is the length of the lines rather than the position of the dots. Even with zero "No" answers, the interval reaches 13.3%.</w:t>
            </w:r>
          </w:p>
          <w:p>
            <w:pPr>
              <w:spacing w:after="80" w:line="276" w:lineRule="auto"/>
              <w:jc w:val="both"/>
            </w:pPr>
            <w:r>
              <w:rPr>
                <w:rFonts w:ascii="Times New Roman" w:hAnsi="Times New Roman" w:eastAsia="바탕"/>
                <w:sz w:val="20"/>
              </w:rPr>
              <w:t>The last row is the place in this table to be most careful about. Zero "No" answers does not mean no one would answer that way. What this sample supports is that the proportion is probably below 13.3%, and as many as three in 25 would not contradict this result.</w:t>
            </w:r>
          </w:p>
          <w:p>
            <w:pPr>
              <w:spacing w:after="80" w:line="276" w:lineRule="auto"/>
              <w:jc w:val="both"/>
            </w:pPr>
            <w:r>
              <w:rPr>
                <w:rFonts w:ascii="Times New Roman" w:hAnsi="Times New Roman" w:eastAsia="바탕"/>
                <w:sz w:val="20"/>
              </w:rPr>
              <w:t>We then tested whether differences exist between groups. Fisher's exact test was used throughout. Chi-squared cannot be used when an expected cell frequency falls below 5, and the tables from this sample always do. It is the same reason the same test is used for allergy inference in §2.5.</w:t>
            </w:r>
          </w:p>
          <w:p>
            <w:pPr>
              <w:spacing w:after="80" w:line="276" w:lineRule="auto"/>
              <w:jc w:val="both"/>
            </w:pPr>
            <w:r>
              <w:rPr>
                <w:rFonts w:ascii="Times New Roman" w:hAnsi="Times New Roman" w:eastAsia="바탕"/>
                <w:sz w:val="20"/>
              </w:rPr>
              <w:t>[Table 45] Tests of difference between groups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What against what</w:t>
                  </w:r>
                </w:p>
              </w:tc>
              <w:tc>
                <w:tcPr>
                  <w:tcW w:type="dxa" w:w="1943"/>
                  <w:shd w:val="clear" w:fill="F2F2F2"/>
                </w:tcPr>
                <w:p>
                  <w:r>
                    <w:rPr>
                      <w:rFonts w:ascii="Times New Roman" w:hAnsi="Times New Roman" w:eastAsia="바탕"/>
                      <w:b/>
                      <w:sz w:val="18"/>
                    </w:rPr>
                    <w:t>Observed</w:t>
                  </w:r>
                </w:p>
              </w:tc>
              <w:tc>
                <w:tcPr>
                  <w:tcW w:type="dxa" w:w="1943"/>
                  <w:shd w:val="clear" w:fill="F2F2F2"/>
                </w:tcPr>
                <w:p>
                  <w:r>
                    <w:rPr>
                      <w:rFonts w:ascii="Times New Roman" w:hAnsi="Times New Roman" w:eastAsia="바탕"/>
                      <w:b/>
                      <w:sz w:val="18"/>
                    </w:rPr>
                    <w:t>Test</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Verdict</w:t>
                  </w:r>
                </w:p>
              </w:tc>
            </w:tr>
            <w:tr>
              <w:tc>
                <w:tcPr>
                  <w:tcW w:type="dxa" w:w="1943"/>
                </w:tcPr>
                <w:p>
                  <w:r>
                    <w:rPr>
                      <w:rFonts w:ascii="Times New Roman" w:hAnsi="Times New Roman" w:eastAsia="바탕"/>
                      <w:sz w:val="18"/>
                    </w:rPr>
                    <w:t>Contact frequency vs judgement</w:t>
                  </w:r>
                </w:p>
              </w:tc>
              <w:tc>
                <w:tcPr>
                  <w:tcW w:type="dxa" w:w="1943"/>
                </w:tcPr>
                <w:p>
                  <w:r>
                    <w:rPr>
                      <w:rFonts w:ascii="Times New Roman" w:hAnsi="Times New Roman" w:eastAsia="바탕"/>
                      <w:sz w:val="18"/>
                    </w:rPr>
                    <w:t>"possible" in 2/4 frequent, 5/21 rare</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Occupation vs judgement</w:t>
                  </w:r>
                </w:p>
              </w:tc>
              <w:tc>
                <w:tcPr>
                  <w:tcW w:type="dxa" w:w="1943"/>
                </w:tcPr>
                <w:p>
                  <w:r>
                    <w:rPr>
                      <w:rFonts w:ascii="Times New Roman" w:hAnsi="Times New Roman" w:eastAsia="바탕"/>
                      <w:sz w:val="18"/>
                    </w:rPr>
                    <w:t>"possible" in 4/12 pharmacy, 3/9 nursing</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Response rate, band A vs B</w:t>
                  </w:r>
                </w:p>
              </w:tc>
              <w:tc>
                <w:tcPr>
                  <w:tcW w:type="dxa" w:w="1943"/>
                </w:tcPr>
                <w:p>
                  <w:r>
                    <w:rPr>
                      <w:rFonts w:ascii="Times New Roman" w:hAnsi="Times New Roman" w:eastAsia="바탕"/>
                      <w:sz w:val="18"/>
                    </w:rPr>
                    <w:t>0/41 against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Language vs judgement</w:t>
                  </w:r>
                </w:p>
              </w:tc>
              <w:tc>
                <w:tcPr>
                  <w:tcW w:type="dxa" w:w="1943"/>
                </w:tcPr>
                <w:p>
                  <w:r>
                    <w:rPr>
                      <w:rFonts w:ascii="Times New Roman" w:hAnsi="Times New Roman" w:eastAsia="바탕"/>
                      <w:sz w:val="18"/>
                    </w:rPr>
                    <w:t>"possible" in 0/11 Korean, 7/14 English</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exceeds the corrected threshold</w:t>
                  </w:r>
                </w:p>
              </w:tc>
            </w:tr>
            <w:tr>
              <w:tc>
                <w:tcPr>
                  <w:tcW w:type="dxa" w:w="1943"/>
                </w:tcPr>
                <w:p>
                  <w:r>
                    <w:rPr>
                      <w:rFonts w:ascii="Times New Roman" w:hAnsi="Times New Roman" w:eastAsia="바탕"/>
                      <w:sz w:val="18"/>
                    </w:rPr>
                    <w:t>Language vs time taken</w:t>
                  </w:r>
                </w:p>
              </w:tc>
              <w:tc>
                <w:tcPr>
                  <w:tcW w:type="dxa" w:w="1943"/>
                </w:tcPr>
                <w:p>
                  <w:r>
                    <w:rPr>
                      <w:rFonts w:ascii="Times New Roman" w:hAnsi="Times New Roman" w:eastAsia="바탕"/>
                      <w:sz w:val="18"/>
                    </w:rPr>
                    <w:t>median 7.1 min against 24.0 min</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Time taken vs free-text volume</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significant</w:t>
                  </w:r>
                </w:p>
              </w:tc>
            </w:tr>
          </w:tbl>
          <w:p/>
          <w:p>
            <w:pPr>
              <w:spacing w:after="120"/>
            </w:pPr>
          </w:p>
          <w:p>
            <w:pPr>
              <w:spacing w:after="80" w:line="276" w:lineRule="auto"/>
              <w:jc w:val="both"/>
            </w:pPr>
            <w:r>
              <w:rPr>
                <w:rFonts w:ascii="Times New Roman" w:hAnsi="Times New Roman" w:eastAsia="바탕"/>
                <w:sz w:val="20"/>
              </w:rPr>
              <w:t>Six tests were run, so the Bonferroni-corrected threshold is 0.0083. Two rows exceed it. We counted that number as five in an earlier version and wrote the threshold as 0.010. The error ran in our favour, so it is recorded here. The p in the fourth row is 0.0078 against a threshold of 0.0083, so the conclusion did not change, but the margin is 0.0005. That is a width one more response could overturn again. Having written that in an earlier version, four more responses did in fact arrive. The judgement question goes only to the five qualified segments, and all four of the new respondents fall outside them, so the denominator of 25 was unchanged and p did not move from 0.0078. The risk we flagged did not materialise this time; it has not gone away. The last says people who stayed longer wrote more, which is not a finding about content. The fourth is different. Not one of the eleven who answered in Korean answered "possible", while half of the fourteen who answered in English did.</w:t>
            </w:r>
          </w:p>
          <w:p>
            <w:pPr>
              <w:spacing w:after="80" w:line="276" w:lineRule="auto"/>
              <w:jc w:val="both"/>
            </w:pPr>
            <w:r>
              <w:rPr>
                <w:rFonts w:ascii="Times New Roman" w:hAnsi="Times New Roman" w:eastAsia="바탕"/>
                <w:sz w:val="20"/>
              </w:rPr>
              <w:t xml:space="preserve">Here is why we do not turn that row into a claim. </w:t>
            </w:r>
            <w:r>
              <w:rPr>
                <w:rFonts w:ascii="Times New Roman" w:hAnsi="Times New Roman" w:eastAsia="바탕"/>
                <w:b/>
                <w:sz w:val="20"/>
              </w:rPr>
              <w:t>One person crossed the threshold.</w:t>
            </w:r>
            <w:r>
              <w:rPr>
                <w:rFonts w:ascii="Times New Roman" w:hAnsi="Times New Roman" w:eastAsia="바탕"/>
                <w:sz w:val="20"/>
              </w:rPr>
              <w:t xml:space="preserve"> At 34 responses the value was 0.019, short of the corrected threshold; adding one respondent who answered in Korean and chose something other than "possible" brought it to 0.0078. Where a conclusion turns on a single person, that fact is more accurate information than the conclusion. Up to the previous version this section read "nothing in this survey supports a claim of difference between groups", and we set this down as we correct that sentence.</w:t>
            </w:r>
          </w:p>
          <w:p>
            <w:pPr>
              <w:spacing w:after="80" w:line="276" w:lineRule="auto"/>
              <w:jc w:val="both"/>
            </w:pPr>
            <w:r>
              <w:rPr>
                <w:rFonts w:ascii="Times New Roman" w:hAnsi="Times New Roman" w:eastAsia="바탕"/>
                <w:sz w:val="20"/>
              </w:rPr>
              <w:t>The second reason is the one already given. Language is entangled with the respondent's country, occupation and screen. Seventeen of the eighteen Korean-language respondents recorded Korea only, and the median time taken splits 7.1 minutes against 24.0. Even if a difference exists, this data cannot separate whether it is due to language, to the time put into the response, or to the condition in §1.2 that encountering a low-literate patient is rare in Korea.</w:t>
            </w:r>
          </w:p>
          <w:p>
            <w:pPr>
              <w:spacing w:after="80" w:line="276" w:lineRule="auto"/>
              <w:jc w:val="both"/>
            </w:pPr>
            <w:r>
              <w:rPr>
                <w:rFonts w:ascii="Times New Roman" w:hAnsi="Times New Roman" w:eastAsia="바탕"/>
                <w:sz w:val="20"/>
              </w:rPr>
              <w:t>Dropping the non-significant tests and reporting only the significant one would be the worst thing that could be done with this sample, so everything that was run is recorded. Bolding the row that crossed the threshold is for the same reason. We do not hide that it crossed, and we put how it crossed beside it.</w:t>
            </w:r>
          </w:p>
          <w:p>
            <w:pPr>
              <w:spacing w:after="80" w:line="276" w:lineRule="auto"/>
              <w:jc w:val="both"/>
            </w:pPr>
            <w:r>
              <w:rPr>
                <w:rFonts w:ascii="Times New Roman" w:hAnsi="Times New Roman" w:eastAsia="바탕"/>
                <w:sz w:val="20"/>
              </w:rPr>
              <w:t>The sixth row is worth reading on its own. A rank correlation of 0.723 between time taken and free-text volume means that people who stayed longer did in fact write more, and it can serve as a proxy for the care taken over a response. The median time taken is 9.3 minutes, with quartiles at 6.0 and 40.5 minutes. E. A. Draffan, retired speech and language therapist and visiting accessibility researcher, noted separately that they were interrupted partway and that their own time should not be read as time actually spent.</w:t>
            </w:r>
          </w:p>
          <w:p>
            <w:pPr>
              <w:spacing w:after="80" w:line="276" w:lineRule="auto"/>
              <w:jc w:val="both"/>
            </w:pPr>
            <w:r>
              <w:rPr>
                <w:rFonts w:ascii="Times New Roman" w:hAnsi="Times New Roman" w:eastAsia="바탕"/>
                <w:sz w:val="20"/>
              </w:rPr>
              <w:t>Free text was written by 33 of the 39 respondents, 124 items in all. Counting by keyword how many people independently raised the same point gives 6 on the absence of validation, 5 on too many elements in one image, 6 on blind users, 4 on the prohibition marking and 4 on referring to existing sets. That count is by words we chose, however, so the body text uses the counts a person read and confirmed.</w:t>
            </w:r>
          </w:p>
          <w:p>
            <w:pPr>
              <w:spacing w:before="120" w:after="20"/>
            </w:pPr>
            <w:r>
              <w:rPr>
                <w:rFonts w:ascii="Times New Roman" w:hAnsi="Times New Roman" w:eastAsia="바탕"/>
                <w:b/>
                <w:sz w:val="21"/>
              </w:rPr>
              <w:t>5.7.6 Points raised in several countries at once</w:t>
            </w:r>
          </w:p>
          <w:p>
            <w:pPr>
              <w:spacing w:after="80" w:line="276" w:lineRule="auto"/>
              <w:jc w:val="both"/>
            </w:pPr>
            <w:r>
              <w:rPr>
                <w:rFonts w:ascii="Times New Roman" w:hAnsi="Times New Roman" w:eastAsia="바탕"/>
                <w:sz w:val="20"/>
              </w:rPr>
              <w:t xml:space="preserve">The heaviest finding was that a prohibition is not read as a prohibition. The morpheme for pregnancy contraindication, </w:t>
            </w:r>
            <w:r>
              <w:rPr>
                <w:rFonts w:ascii="Consolas" w:hAnsi="Consolas" w:eastAsia="Consolas"/>
                <w:sz w:val="19"/>
              </w:rPr>
              <w:t>state_pregnant</w:t>
            </w:r>
            <w:r>
              <w:rPr>
                <w:rFonts w:ascii="Times New Roman" w:hAnsi="Times New Roman" w:eastAsia="바탕"/>
                <w:sz w:val="20"/>
              </w:rPr>
              <w:t>, is a picture of a pregnant woman with no prohibition marking. The prescription says "do not use during pregnancy" and the speech says so too, but to someone looking only at the picture it reads the other way round.</w:t>
            </w:r>
          </w:p>
          <w:p>
            <w:pPr>
              <w:spacing w:after="40" w:line="276" w:lineRule="auto"/>
              <w:ind w:left="403"/>
            </w:pPr>
            <w:r>
              <w:rPr>
                <w:rFonts w:ascii="Times New Roman" w:hAnsi="Times New Roman" w:eastAsia="바탕"/>
                <w:i/>
                <w:color w:val="606068"/>
                <w:sz w:val="19"/>
              </w:rPr>
              <w:t>"In second example, the prescription read not to use the eyedrops in pregnancy while the pictogram showed a pregnant woman making the patient assume it is safe to use in pregnancy."</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40" w:line="276" w:lineRule="auto"/>
              <w:ind w:left="403"/>
            </w:pPr>
            <w:r>
              <w:rPr>
                <w:rFonts w:ascii="Times New Roman" w:hAnsi="Times New Roman" w:eastAsia="바탕"/>
                <w:i/>
                <w:color w:val="606068"/>
                <w:sz w:val="19"/>
              </w:rPr>
              <w:t>"Putting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Raisa Kravchenko, Deputy Director of the All Ukrainian NGO Coalition for Persons with Intellectual Disabilities in Ukraine, wrote that "with no danger marking it can be understood as being recommended for pregnant women", and Professor Eun-Kyoung Kim of Kongju National University noted that "'you must do this' and 'you must not' are not properly distinguished; the 'must not' in particular ought to be emphasised." The same statement came from four different countries.</w:t>
            </w:r>
          </w:p>
          <w:p>
            <w:pPr>
              <w:spacing w:after="80" w:line="276" w:lineRule="auto"/>
              <w:jc w:val="both"/>
            </w:pPr>
            <w:r>
              <w:rPr>
                <w:rFonts w:ascii="Times New Roman" w:hAnsi="Times New Roman" w:eastAsia="바탕"/>
                <w:b/>
                <w:sz w:val="20"/>
              </w:rPr>
              <w:t>This is exactly the critical confusion that ANSI Z535.3, cited in §1.8, is about.</w:t>
            </w:r>
            <w:r>
              <w:rPr>
                <w:rFonts w:ascii="Times New Roman" w:hAnsi="Times New Roman" w:eastAsia="바탕"/>
                <w:sz w:val="20"/>
              </w:rPr>
              <w:t xml:space="preserve"> And as described in §2.2 the engine already has the </w:t>
            </w:r>
            <w:r>
              <w:rPr>
                <w:rFonts w:ascii="Consolas" w:hAnsi="Consolas" w:eastAsia="Consolas"/>
                <w:sz w:val="19"/>
              </w:rPr>
              <w:t>\no{}</w:t>
            </w:r>
            <w:r>
              <w:rPr>
                <w:rFonts w:ascii="Times New Roman" w:hAnsi="Times New Roman" w:eastAsia="바탕"/>
                <w:sz w:val="20"/>
              </w:rPr>
              <w:t xml:space="preserve"> operator and can draw the prohibition circle and slash. </w:t>
            </w:r>
            <w:r>
              <w:rPr>
                <w:rFonts w:ascii="Consolas" w:hAnsi="Consolas" w:eastAsia="Consolas"/>
                <w:sz w:val="19"/>
              </w:rPr>
              <w:t>\no{\contact_lens}</w:t>
            </w:r>
            <w:r>
              <w:rPr>
                <w:rFonts w:ascii="Times New Roman" w:hAnsi="Times New Roman" w:eastAsia="바탕"/>
                <w:sz w:val="20"/>
              </w:rPr>
              <w:t xml:space="preserve"> in the same demonstration comes out with the slash on it. The code emitting contraindications simply was not calling it. It is a defect caused by not calling a capability that exists rather than by a capability being absent, which is the same kind as the 0 of 28 in §5.1.</w:t>
            </w:r>
          </w:p>
          <w:p>
            <w:pPr>
              <w:spacing w:after="80" w:line="276" w:lineRule="auto"/>
              <w:jc w:val="both"/>
            </w:pPr>
            <w:r>
              <w:rPr>
                <w:rFonts w:ascii="Times New Roman" w:hAnsi="Times New Roman" w:eastAsia="바탕"/>
                <w:sz w:val="20"/>
              </w:rPr>
              <w:t>The same kind of inversion was raised for the finish-the-course morpheme.</w:t>
            </w:r>
          </w:p>
          <w:p>
            <w:pPr>
              <w:spacing w:after="40" w:line="276" w:lineRule="auto"/>
              <w:ind w:left="403"/>
            </w:pPr>
            <w:r>
              <w:rPr>
                <w:rFonts w:ascii="Times New Roman" w:hAnsi="Times New Roman" w:eastAsia="바탕"/>
                <w:i/>
                <w:color w:val="606068"/>
                <w:sz w:val="19"/>
              </w:rPr>
              <w:t>"The symbol do not show what it means. For me it means I do not need to finish the course as your black dots did not complete the fully. you may want to add a arrow symbol for direction so that its clearer?"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is the very morpheme named in the SDG 3.d contribution of §5.8 as what this app aims at. The finding is that it reads as the exact opposite.</w:t>
            </w:r>
          </w:p>
          <w:p>
            <w:pPr>
              <w:spacing w:after="80" w:line="276" w:lineRule="auto"/>
              <w:jc w:val="both"/>
            </w:pPr>
            <w:r>
              <w:rPr>
                <w:rFonts w:ascii="Times New Roman" w:hAnsi="Times New Roman" w:eastAsia="바탕"/>
                <w:sz w:val="20"/>
              </w:rPr>
              <w:t>Too many elements in one image was raised in three countries. Myojung Choi, a researcher at the Korea Disabled People's Development Institute, wrote that "if additional information is presented as small images inside the eye-drop bottle pictogram, the information overlaps and legibility falls, so present the dosage form early and separate the details", and Yonghan Lee, Senior Manager at the Korea Craft and Design Foundation, proposed splitting the explanation into two or three. The structure of SIGIL, designed in §2.2 to place modifiers in a slot inside the head, is what is caught here.</w:t>
            </w:r>
          </w:p>
          <w:p>
            <w:pPr>
              <w:spacing w:after="80" w:line="276" w:lineRule="auto"/>
              <w:jc w:val="both"/>
            </w:pPr>
            <w:r>
              <w:rPr>
                <w:rFonts w:ascii="Times New Roman" w:hAnsi="Times New Roman" w:eastAsia="바탕"/>
                <w:sz w:val="20"/>
              </w:rPr>
              <w:t>The target population differs from our premise was raised five times. Yonghan Lee, Senior Manager at the Korea Craft and Design Foundation, said that "the largest group of people who cannot read is likely to be blind people rather than non-literate people, and for a blind person the act of taking a photograph is itself a barrier." Niken Nur Widyakusuma, a pharmacist in Indonesia, also answered that she sees far more patients with visual impairment, and Professor Hwi-Yeol Yun of Chungnam National University College of Pharmacy answered that in Korea it is mainly foreign patients. It runs in the same direction as what we wrote in §1.5, that even someone who can read has no guarantee the text is in their own language, and it means we defined the target too narrowly.</w:t>
            </w:r>
          </w:p>
          <w:p>
            <w:pPr>
              <w:spacing w:after="80" w:line="276" w:lineRule="auto"/>
              <w:jc w:val="both"/>
            </w:pPr>
            <w:r>
              <w:rPr>
                <w:rFonts w:ascii="Times New Roman" w:hAnsi="Times New Roman" w:eastAsia="바탕"/>
                <w:sz w:val="20"/>
              </w:rPr>
              <w:t>Associate Professor Hangil Lee of the College of Pharmacy, Ewha Womans University, went one step further into it. Three things have to be separated.</w:t>
            </w:r>
          </w:p>
          <w:p>
            <w:pPr>
              <w:spacing w:after="40" w:line="276" w:lineRule="auto"/>
              <w:ind w:left="403"/>
            </w:pPr>
            <w:r>
              <w:rPr>
                <w:rFonts w:ascii="Times New Roman" w:hAnsi="Times New Roman" w:eastAsia="바탕"/>
                <w:i/>
                <w:color w:val="606068"/>
                <w:sz w:val="19"/>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Where the earlier five responses said "there are more blind people", this one divides that group again. A totally blind person cannot see the picture at all; low vision is a question of size and contrast; low literacy is a question of letters. The three ask for different things. And this response's verdict is that the place pictograms work is the last of the three. It attaches to the point in §1.5 where, having recorded 2.2 billion people with vision impairment, we noted that this source cannot tell us how far the two groups overlap; here is how those three actually divide in practice.</w:t>
            </w:r>
          </w:p>
          <w:p>
            <w:pPr>
              <w:spacing w:after="80" w:line="276" w:lineRule="auto"/>
              <w:jc w:val="both"/>
            </w:pPr>
            <w:r>
              <w:rPr>
                <w:rFonts w:ascii="Times New Roman" w:hAnsi="Times New Roman" w:eastAsia="바탕"/>
                <w:sz w:val="20"/>
              </w:rPr>
              <w:t>The same respondent pointed at institutional material we did not know about: a comparative study of domestic and international guidelines for braille labelling on medicines (Yakhak Hoeji), and the Ministry of Food and Drug Safety guideline on braille and voice and sign-language conversion codes for medicines and quasi-drugs. It means standards and guidance already exist for the layer we chose not to address, and it makes us look again at leaving blindness among the unverified items in §5.9. If this app ever does address that layer, it should follow that guidance rather than design something new.</w:t>
            </w:r>
          </w:p>
          <w:p>
            <w:pPr>
              <w:spacing w:before="120" w:after="20"/>
            </w:pPr>
            <w:r>
              <w:rPr>
                <w:rFonts w:ascii="Times New Roman" w:hAnsi="Times New Roman" w:eastAsia="바탕"/>
                <w:b/>
                <w:sz w:val="21"/>
              </w:rPr>
              <w:t>5.7.7 Individual findings</w:t>
            </w:r>
          </w:p>
          <w:p>
            <w:pPr>
              <w:spacing w:after="80" w:line="276" w:lineRule="auto"/>
              <w:jc w:val="both"/>
            </w:pPr>
            <w:r>
              <w:rPr>
                <w:rFonts w:ascii="Times New Roman" w:hAnsi="Times New Roman" w:eastAsia="바탕"/>
                <w:sz w:val="20"/>
              </w:rPr>
              <w:t>Foued Maaoui, a researcher at the Pasteur Institute of Tunis, noted the absence of teach-back. There is no procedure for confirming that the patient understood correctly, and from a patient-safety standpoint the absence of this feedback loop is a serious risk.</w:t>
            </w:r>
          </w:p>
          <w:p>
            <w:pPr>
              <w:spacing w:after="80" w:line="276" w:lineRule="auto"/>
              <w:jc w:val="both"/>
            </w:pPr>
            <w:r>
              <w:rPr>
                <w:rFonts w:ascii="Times New Roman" w:hAnsi="Times New Roman" w:eastAsia="바탕"/>
                <w:sz w:val="20"/>
              </w:rPr>
              <w:t xml:space="preserve">There is evidence behind that point. A systematic review synthesising 20 studies of teach-back found positive results in 19, with significant improvement in medication adherence and diet among patients with type 2 diabetes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It is exactly the procedure that Professor Samirah Abdu-Aguye of Ahmadu Bello University in Nigeria answered she currently uses in practice. Acting on this point we built a checking step, described in §3.8. Instead of speaking back, the user points at pictures; whether that substitution produces the same confirming effect has not yet been put to people. The same respondent also set out a validation design: work with low-literate participants and do not substitute educated volunteers; use predefined scoring criteria and blinded assessors; test pictogram-only, audio-only and both separately; and use real prescriptions rather than a clean demonstration. The evaluation design in §5.10 was revised accordingly.</w:t>
            </w:r>
          </w:p>
          <w:p>
            <w:pPr>
              <w:spacing w:after="80" w:line="276" w:lineRule="auto"/>
              <w:jc w:val="both"/>
            </w:pPr>
            <w:r>
              <w:rPr>
                <w:rFonts w:ascii="Times New Roman" w:hAnsi="Times New Roman" w:eastAsia="바탕"/>
                <w:sz w:val="20"/>
              </w:rPr>
              <w:t>Professor Celia of the University of Pretoria judged that it would not work on handwritten prescriptions. Up to the survey we had tested only with printed samples, so it was a point we could not answer; after the survey we measured three times and answered it.</w:t>
            </w:r>
          </w:p>
          <w:p>
            <w:pPr>
              <w:spacing w:after="80" w:line="276" w:lineRule="auto"/>
              <w:jc w:val="both"/>
            </w:pPr>
            <w:r>
              <w:rPr>
                <w:rFonts w:ascii="Times New Roman" w:hAnsi="Times New Roman" w:eastAsia="바탕"/>
                <w:sz w:val="20"/>
              </w:rPr>
              <w:t xml:space="preserve">First we put in a real one: a public-domain (CC0) photograph of a handwritten prescription from the Eye Foundation Hospital in Lagos. The result was worse than the objection. It did not fail to work; it </w:t>
            </w:r>
            <w:r>
              <w:rPr>
                <w:rFonts w:ascii="Times New Roman" w:hAnsi="Times New Roman" w:eastAsia="바탕"/>
                <w:b/>
                <w:sz w:val="20"/>
              </w:rPr>
              <w:t>worked wrongly.</w:t>
            </w:r>
            <w:r>
              <w:rPr>
                <w:rFonts w:ascii="Times New Roman" w:hAnsi="Times New Roman" w:eastAsia="바탕"/>
                <w:sz w:val="20"/>
              </w:rPr>
              <w:t xml:space="preserve"> It read the paper's "8hrly" (every 8 hours) as "8mg", so a frequency became a dose; three dosing times the paper never mentions were attached; and a green verdict lit up on top. That is different from not reading. When it cannot read, the user asks a person; when it reads like this, it is confidently wrong. We fixed three things. Frequency abbreviations (hrly, od, bd, tds, nocte and so on) were built into recognition; times absent from the paper are no longer invented, the schedule is left empty; and when the model judges the writing handwritten, no green light comes on and the screen tells the user to ask a person while offering the paper form (§4.4) as another route. What is read is not erased. What is erased is the confidence.</w:t>
            </w:r>
          </w:p>
          <w:p>
            <w:pPr>
              <w:spacing w:after="80" w:line="276" w:lineRule="auto"/>
              <w:jc w:val="both"/>
            </w:pPr>
            <w:r>
              <w:rPr>
                <w:rFonts w:ascii="Times New Roman" w:hAnsi="Times New Roman" w:eastAsia="바탕"/>
                <w:sz w:val="20"/>
              </w:rPr>
              <w:t>Fixing it surfaced one more. The caution verdict was drawing a slash across the pictogram, so the moment the handwriting caution attached, a prohibition mark was drawn over the glaucoma eye-drop picture. That amounts to telling someone to stop their medicine because the paper is hard to read, the exact mirror image of the failure this app set out to prevent. The slash now goes out only on avoid, locked with a test.</w:t>
            </w:r>
          </w:p>
          <w:p>
            <w:pPr>
              <w:spacing w:after="80" w:line="276" w:lineRule="auto"/>
              <w:jc w:val="both"/>
            </w:pPr>
            <w:r>
              <w:rPr>
                <w:rFonts w:ascii="Times New Roman" w:hAnsi="Times New Roman" w:eastAsia="바탕"/>
                <w:sz w:val="20"/>
              </w:rPr>
              <w:t>One photograph is a case, not a measurement, so we measured again on public data: 500 samples from the test split of 5,578 handwritten drug names cut from real Bangladeshi prescriptions (RxHandBD, Zenodo 18478741, MIT licence). Bangladesh is the country of respondent Aliya Naheed, Senior Scientist. All 500 were read, with no failures. The result: read exactly, 45.2%; off by a character or two, 28.2%; read as something else entirely, 26.6%. The middle band is the more dangerous one. Escilex read as Eslilex, and one character away there can be a different real drug; this dataset itself contains Inderen and Indever side by side.</w:t>
            </w:r>
          </w:p>
          <w:p>
            <w:pPr>
              <w:spacing w:after="80" w:line="276" w:lineRule="auto"/>
              <w:jc w:val="both"/>
            </w:pPr>
            <w:r>
              <w:rPr>
                <w:rFonts w:ascii="Times New Roman" w:hAnsi="Times New Roman" w:eastAsia="바탕"/>
                <w:sz w:val="20"/>
              </w:rPr>
              <w:t>We also measured whether confidence can filter it. It cannot, and the way it fails is not what we first supposed.</w:t>
            </w:r>
          </w:p>
          <w:p>
            <w:pPr>
              <w:spacing w:after="80" w:line="276" w:lineRule="auto"/>
              <w:jc w:val="both"/>
            </w:pPr>
            <w:r>
              <w:rPr>
                <w:rFonts w:ascii="Times New Roman" w:hAnsi="Times New Roman" w:eastAsia="바탕"/>
                <w:sz w:val="20"/>
              </w:rPr>
              <w:t xml:space="preserve">At a threshold of 0.4, 45% survive and 71.6% of those are correct. At 0.5, 20.4% survive and accuracy peaks at 83.3%, and </w:t>
            </w:r>
            <w:r>
              <w:rPr>
                <w:rFonts w:ascii="Times New Roman" w:hAnsi="Times New Roman" w:eastAsia="바탕"/>
                <w:b/>
                <w:sz w:val="20"/>
              </w:rPr>
              <w:t>raising the threshold further makes accuracy fall rather than rise</w:t>
            </w:r>
            <w:r>
              <w:rPr>
                <w:rFonts w:ascii="Times New Roman" w:hAnsi="Times New Roman" w:eastAsia="바탕"/>
                <w:sz w:val="20"/>
              </w:rPr>
              <w:t>: 79.5% at 0.6, 76.9% at 0.7, 50.0% at 0.8. Allowing for the noise of a shrinking sample, the direction does not go up.</w:t>
            </w:r>
          </w:p>
          <w:p>
            <w:pPr>
              <w:spacing w:after="80" w:line="276" w:lineRule="auto"/>
              <w:jc w:val="both"/>
            </w:pPr>
            <w:r>
              <w:rPr>
                <w:rFonts w:ascii="Times New Roman" w:hAnsi="Times New Roman" w:eastAsia="바탕"/>
                <w:sz w:val="20"/>
              </w:rPr>
              <w:t xml:space="preserve">This is where the conclusion changed from the 200-sample run. Then it was that no threshold satisfies accuracy and coverage together. At 500 we can say something stronger: </w:t>
            </w:r>
            <w:r>
              <w:rPr>
                <w:rFonts w:ascii="Times New Roman" w:hAnsi="Times New Roman" w:eastAsia="바탕"/>
                <w:b/>
                <w:sz w:val="20"/>
              </w:rPr>
              <w:t>high confidence is not evidence of correctness.</w:t>
            </w:r>
            <w:r>
              <w:rPr>
                <w:rFonts w:ascii="Times New Roman" w:hAnsi="Times New Roman" w:eastAsia="바탕"/>
                <w:sz w:val="20"/>
              </w:rPr>
              <w:t xml:space="preserve"> The conclusion that confidence cannot serve as a filter is the same, but the reason is no longer narrow coverage; it is that the relationship does not continue upward.</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21_handwriting.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42]</w:t>
            </w:r>
            <w:r>
              <w:rPr>
                <w:rFonts w:ascii="Times New Roman" w:hAnsi="Times New Roman" w:eastAsia="바탕"/>
                <w:color w:val="606068"/>
                <w:sz w:val="18"/>
              </w:rPr>
              <w:t xml:space="preserve"> How 500 handwritten drug names were read, and why confidence cannot filter them. The right panel is the design basis: while the share surviving (grey) falls steeply, the accuracy of the survivors (blue) peaks at 0.5 and then falls again. Raising the threshold does not buy accuracy, so confidence cannot serve as a filter. The red bar on the left is the heaviest finding of this measurement. A name read as something else looks wrong; a name off by a character or two can be a different drug that actually exists.</w:t>
            </w:r>
          </w:p>
          <w:p>
            <w:pPr>
              <w:spacing w:after="80" w:line="276" w:lineRule="auto"/>
              <w:jc w:val="both"/>
            </w:pPr>
            <w:r>
              <w:rPr>
                <w:rFonts w:ascii="Times New Roman" w:hAnsi="Times New Roman" w:eastAsia="바탕"/>
                <w:sz w:val="20"/>
              </w:rPr>
              <w:t xml:space="preserve">We also measured what the user actually photographs, the full prescription page. All 200 Bangladeshi prescription pages annotated with the number of drug-name regions (Mendeley k62rfd23kz, CC BY 4.0) were sent not to the model but to the app's </w:t>
            </w:r>
            <w:r>
              <w:rPr>
                <w:rFonts w:ascii="Consolas" w:hAnsi="Consolas" w:eastAsia="Consolas"/>
                <w:sz w:val="19"/>
              </w:rPr>
              <w:t>/api/analyze</w:t>
            </w:r>
            <w:r>
              <w:rPr>
                <w:rFonts w:ascii="Times New Roman" w:hAnsi="Times New Roman" w:eastAsia="바탕"/>
                <w:sz w:val="20"/>
              </w:rPr>
              <w:t>, because a value only becomes the app's value after passing the deployed prompt and post-processing. The ground truth is a count, not text. This dataset has no drug-name text; it records how many medicines each page carries, and the count matters for a reason. If three of five medicines are read, two vanish silently, and the user takes the three on screen to be all of them.</w:t>
            </w:r>
          </w:p>
          <w:p>
            <w:pPr>
              <w:spacing w:after="80" w:line="276" w:lineRule="auto"/>
              <w:jc w:val="both"/>
            </w:pPr>
            <w:r>
              <w:rPr>
                <w:rFonts w:ascii="Times New Roman" w:hAnsi="Times New Roman" w:eastAsia="바탕"/>
                <w:sz w:val="20"/>
              </w:rPr>
              <w:t xml:space="preserve">This measurement found a defect. On the first run 11 of the 60 pages failed outright, and not at random: every one carried 5 to 12 medicines, and the same pages failed on every rerun. </w:t>
            </w:r>
            <w:r>
              <w:rPr>
                <w:rFonts w:ascii="Times New Roman" w:hAnsi="Times New Roman" w:eastAsia="바탕"/>
                <w:b/>
                <w:sz w:val="20"/>
              </w:rPr>
              <w:t>It was failing against exactly the people who need it most.</w:t>
            </w:r>
            <w:r>
              <w:rPr>
                <w:rFonts w:ascii="Times New Roman" w:hAnsi="Times New Roman" w:eastAsia="바탕"/>
                <w:sz w:val="20"/>
              </w:rPr>
              <w:t xml:space="preserve"> The person taking ten medicines needs this app most, and that very person's prescription would not read. What happened and why is in the comment of the fixed code, carried over as written:</w:t>
            </w:r>
          </w:p>
          <w:p>
            <w:pPr>
              <w:spacing w:after="160"/>
            </w:pPr>
            <w:r>
              <w:rPr>
                <w:rFonts w:ascii="Consolas" w:hAnsi="Consolas" w:eastAsia="Consolas"/>
                <w:sz w:val="18"/>
              </w:rPr>
              <w:t xml:space="preserve">      /*</w:t>
              <w:br/>
              <w:t xml:space="preserve">        It was 700. Right there, **prescriptions with many medicines were failing</w:t>
              <w:br/>
              <w:t xml:space="preserve">        outright.**</w:t>
              <w:br/>
              <w:br/>
              <w:t xml:space="preserve">        It surfaced while measuring on 60 whole Bangladeshi prescription pages.</w:t>
              <w:br/>
              <w:t xml:space="preserve">        Eleven failed, and not at random — every one of them listed 5 to 12</w:t>
              <w:br/>
              <w:t xml:space="preserve">        medicines, and it was the same pages every time. The answer was cut off at</w:t>
              <w:br/>
              <w:t xml:space="preserve">        700 tokens (`stop_reason: max_tokens`), the cut JSON failed to parse, the</w:t>
              <w:br/>
              <w:t xml:space="preserve">        failure was caught above, and the screen said "could not read it."</w:t>
              <w:br/>
              <w:t xml:space="preserve">        The actual tail of one admission order sheet:</w:t>
              <w:br/>
              <w:t xml:space="preserve">        `…urinary catheterization. 20.` — cut mid-sentence.</w:t>
              <w:br/>
              <w:br/>
              <w:t xml:space="preserve">        **It was failing against exactly the people who need it most.** Someone</w:t>
              <w:br/>
              <w:t xml:space="preserve">        taking ten medicines needs this app most, and theirs is precisely the</w:t>
              <w:br/>
              <w:t xml:space="preserve">        prescription that does not get read.</w:t>
              <w:br/>
              <w:br/>
              <w:t xml:space="preserve">        A nutrition answer fits in 700, but dosing instructions grow with the</w:t>
              <w:br/>
              <w:t xml:space="preserve">        number of medicines. Give it room — short answers end short anyway</w:t>
              <w:br/>
              <w:t xml:space="preserve">        (end_turn), so this value does not raise the cost.</w:t>
              <w:br/>
              <w:t xml:space="preserve">      */</w:t>
              <w:br/>
              <w:t xml:space="preserve">      max_tokens: 3000,</w:t>
            </w:r>
          </w:p>
          <w:p>
            <w:pPr>
              <w:spacing w:after="80" w:line="276" w:lineRule="auto"/>
              <w:jc w:val="both"/>
            </w:pPr>
            <w:r>
              <w:rPr>
                <w:rFonts w:ascii="Times New Roman" w:hAnsi="Times New Roman" w:eastAsia="바탕"/>
                <w:sz w:val="20"/>
              </w:rPr>
              <w:t>The same measurement surfaced one more defect. When a call failed briefly, the app was saying "this server has no photo recognition." A permanent statement about a passing event, and whoever hears it does not try again, because it sounds like something that cannot be fixed. The two are now split: a momentary backlog (503) says try again in a moment, and only the genuine absence of means (501) says there are none.</w:t>
            </w:r>
          </w:p>
          <w:p>
            <w:pPr>
              <w:spacing w:after="80" w:line="276" w:lineRule="auto"/>
              <w:jc w:val="both"/>
            </w:pPr>
            <w:r>
              <w:rPr>
                <w:rFonts w:ascii="Times New Roman" w:hAnsi="Times New Roman" w:eastAsia="바탕"/>
                <w:sz w:val="20"/>
              </w:rPr>
              <w:t xml:space="preserve">After the fix all 200 pages were measured again. Recognition as a prescription rose from 95.5% to </w:t>
            </w:r>
            <w:r>
              <w:rPr>
                <w:rFonts w:ascii="Times New Roman" w:hAnsi="Times New Roman" w:eastAsia="바탕"/>
                <w:b/>
                <w:sz w:val="20"/>
              </w:rPr>
              <w:t>100%</w:t>
            </w:r>
            <w:r>
              <w:rPr>
                <w:rFonts w:ascii="Times New Roman" w:hAnsi="Times New Roman" w:eastAsia="바탕"/>
                <w:sz w:val="20"/>
              </w:rPr>
              <w:t xml:space="preserve"> (200 of 200, no failures) and recall of the medicine count from 83.2% to </w:t>
            </w:r>
            <w:r>
              <w:rPr>
                <w:rFonts w:ascii="Times New Roman" w:hAnsi="Times New Roman" w:eastAsia="바탕"/>
                <w:b/>
                <w:sz w:val="20"/>
              </w:rPr>
              <w:t>86.9%</w:t>
            </w:r>
            <w:r>
              <w:rPr>
                <w:rFonts w:ascii="Times New Roman" w:hAnsi="Times New Roman" w:eastAsia="바탕"/>
                <w:sz w:val="20"/>
              </w:rPr>
              <w:t xml:space="preserve"> (944 of 1,086 annotated). The 4.5% that disappeared is exactly the prescriptions carrying the most medicines, which belong to the people who need this app most.</w:t>
            </w:r>
          </w:p>
          <w:p>
            <w:pPr>
              <w:spacing w:after="80" w:line="276" w:lineRule="auto"/>
              <w:jc w:val="both"/>
            </w:pPr>
            <w:r>
              <w:rPr>
                <w:rFonts w:ascii="Times New Roman" w:hAnsi="Times New Roman" w:eastAsia="바탕"/>
                <w:sz w:val="20"/>
              </w:rPr>
              <w:t xml:space="preserve">Handwriting was flagged on 94.5%. Opening all eleven pages that were not flagged showed computer-printed prescriptions without a single handwritten character. Since this dataset states that it mixes handwriting and print, that is a correct discrimination rather than a miss. The fourteen pages carrying a schedule were likewise all reading notation actually on the paper, the Bangladeshi </w:t>
            </w:r>
            <w:r>
              <w:rPr>
                <w:rFonts w:ascii="Consolas" w:hAnsi="Consolas" w:eastAsia="Consolas"/>
                <w:sz w:val="19"/>
              </w:rPr>
              <w:t>1+0+1</w:t>
            </w:r>
            <w:r>
              <w:rPr>
                <w:rFonts w:ascii="Times New Roman" w:hAnsi="Times New Roman" w:eastAsia="바탕"/>
                <w:sz w:val="20"/>
              </w:rPr>
              <w:t xml:space="preserve"> style.</w:t>
            </w:r>
          </w:p>
          <w:p>
            <w:pPr>
              <w:spacing w:after="80" w:line="276" w:lineRule="auto"/>
              <w:jc w:val="both"/>
            </w:pPr>
            <w:r>
              <w:rPr>
                <w:rFonts w:ascii="Times New Roman" w:hAnsi="Times New Roman" w:eastAsia="바탕"/>
                <w:sz w:val="20"/>
              </w:rPr>
              <w:t xml:space="preserve">One more limit belongs here. This measurement was sent straight to </w:t>
            </w:r>
            <w:r>
              <w:rPr>
                <w:rFonts w:ascii="Consolas" w:hAnsi="Consolas" w:eastAsia="Consolas"/>
                <w:sz w:val="19"/>
              </w:rPr>
              <w:t>/api/analyze</w:t>
            </w:r>
            <w:r>
              <w:rPr>
                <w:rFonts w:ascii="Times New Roman" w:hAnsi="Times New Roman" w:eastAsia="바탕"/>
                <w:sz w:val="20"/>
              </w:rPr>
              <w:t>, so it measures the vision-model route rather than the app's default path. A real camera runs OCR on the device first and never calls the model for a printed prescription (§3.3). Handwriting falls through to this route because OCR cannot hold it, which is what makes these figures meaningful; but rolled up as a "prescription recognition rate" they would be wrong at exactly that point.</w:t>
            </w:r>
          </w:p>
          <w:p>
            <w:pPr>
              <w:spacing w:before="160" w:after="60"/>
              <w:jc w:val="center"/>
            </w:pPr>
            <w:r>
              <w:drawing>
                <wp:inline xmlns:a="http://schemas.openxmlformats.org/drawingml/2006/main" xmlns:pic="http://schemas.openxmlformats.org/drawingml/2006/picture">
                  <wp:extent cx="5486400" cy="2103120"/>
                  <wp:docPr id="43" name="Picture 43"/>
                  <wp:cNvGraphicFramePr>
                    <a:graphicFrameLocks noChangeAspect="1"/>
                  </wp:cNvGraphicFramePr>
                  <a:graphic>
                    <a:graphicData uri="http://schemas.openxmlformats.org/drawingml/2006/picture">
                      <pic:pic>
                        <pic:nvPicPr>
                          <pic:cNvPr id="0" name="chart22_pageeval.png"/>
                          <pic:cNvPicPr/>
                        </pic:nvPicPr>
                        <pic:blipFill>
                          <a:blip r:embed="rId60"/>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43]</w:t>
            </w:r>
            <w:r>
              <w:rPr>
                <w:rFonts w:ascii="Times New Roman" w:hAnsi="Times New Roman" w:eastAsia="바탕"/>
                <w:color w:val="606068"/>
                <w:sz w:val="18"/>
              </w:rPr>
              <w:t xml:space="preserve"> All 200 full prescription pages measured before and after the fix. The gap in the left pair is the pages that failed outright because the reply was truncated. A caveat belongs beside it: the two values must not be multiplied together. The 86.9% recall is a count, not letter accuracy; letter accuracy is the 45.2% of Figure 42. Different sample, different task.</w:t>
            </w:r>
          </w:p>
          <w:p>
            <w:pPr>
              <w:spacing w:after="80" w:line="276" w:lineRule="auto"/>
              <w:jc w:val="both"/>
            </w:pPr>
            <w:r>
              <w:rPr>
                <w:rFonts w:ascii="Times New Roman" w:hAnsi="Times New Roman" w:eastAsia="바탕"/>
                <w:sz w:val="20"/>
              </w:rPr>
              <w:t>Enlarging the sample overturned one thing we had written. At 200 samples, nothing carrying confidence of 0.8 or higher was wrong, and we took that as grounds for saying the model says it cannot read what it cannot read. At 500 there is one: Folzin (folic acid) read as Naprosyn (naproxen) with confidence 0.85. One in 500 is 0.2% and a small number, but not a small number given that what we were about to build on it was "let anything confident through." Had we not enlarged the sample, we would have put a design on top of a safety that was not there.</w:t>
            </w:r>
          </w:p>
          <w:p>
            <w:pPr>
              <w:spacing w:after="80" w:line="276" w:lineRule="auto"/>
              <w:jc w:val="both"/>
            </w:pPr>
            <w:r>
              <w:rPr>
                <w:rFonts w:ascii="Times New Roman" w:hAnsi="Times New Roman" w:eastAsia="바탕"/>
                <w:sz w:val="20"/>
              </w:rPr>
              <w:t>In sum, Professor Celia's point is confirmed by three measurements. This app cannot read handwriting. Two things have changed: the screen now knows it, and what the app does everywhere else is now stated in numbers.</w:t>
            </w:r>
          </w:p>
          <w:p>
            <w:pPr>
              <w:spacing w:after="80" w:line="276" w:lineRule="auto"/>
              <w:jc w:val="both"/>
            </w:pPr>
            <w:r>
              <w:rPr>
                <w:rFonts w:ascii="Times New Roman" w:hAnsi="Times New Roman" w:eastAsia="바탕"/>
                <w:sz w:val="20"/>
              </w:rPr>
              <w:t xml:space="preserve">Professor Atif Usman noted that </w:t>
            </w:r>
            <w:r>
              <w:rPr>
                <w:rFonts w:ascii="Times New Roman" w:hAnsi="Times New Roman" w:eastAsia="바탕"/>
                <w:b/>
                <w:sz w:val="20"/>
              </w:rPr>
              <w:t>the dose per intake and the number of times a day are not distinguished</w:t>
            </w:r>
            <w:r>
              <w:rPr>
                <w:rFonts w:ascii="Times New Roman" w:hAnsi="Times New Roman" w:eastAsia="바탕"/>
                <w:sz w:val="20"/>
              </w:rPr>
              <w:t>. In the amoxicillin example the first picture represents three times a day but cannot represent one capsule at a time, and the morning, midday and evening pictures that follow create confusion. This corresponds directly to the dose errors that make up 28.4% of the total in Table 4.</w:t>
            </w:r>
          </w:p>
          <w:p>
            <w:pPr>
              <w:spacing w:after="80" w:line="276" w:lineRule="auto"/>
              <w:jc w:val="both"/>
            </w:pPr>
            <w:r>
              <w:rPr>
                <w:rFonts w:ascii="Times New Roman" w:hAnsi="Times New Roman" w:eastAsia="바탕"/>
                <w:sz w:val="20"/>
              </w:rPr>
              <w:t xml:space="preserve">E. A. Draffan, retired speech and language therapist and visiting accessibility researcher at Global Symbols and the University of Southampton, wrote that AAC users frequently have visual difficulties as well, which makes an audio button hard to reach by scanning, and that since a user's communication-aid interface may differ from this app, the </w:t>
            </w:r>
            <w:r>
              <w:rPr>
                <w:rFonts w:ascii="Times New Roman" w:hAnsi="Times New Roman" w:eastAsia="바탕"/>
                <w:b/>
                <w:sz w:val="20"/>
              </w:rPr>
              <w:t>WCAG 2.2 mobile criteria</w:t>
            </w:r>
            <w:r>
              <w:rPr>
                <w:rFonts w:ascii="Times New Roman" w:hAnsi="Times New Roman" w:eastAsia="바탕"/>
                <w:sz w:val="20"/>
              </w:rPr>
              <w:t xml:space="preserve"> should be checked. There was also a point that the morning, midday and evening icons are small and need magnification. Both were addressed. What working through WCAG 2.2 found, and what we changed, are in §3.7, and the icon size was resolved not by magnification but by giving the time morphemes a cell of their own. The account of that is below.</w:t>
            </w:r>
          </w:p>
          <w:p>
            <w:pPr>
              <w:spacing w:after="80" w:line="276" w:lineRule="auto"/>
              <w:jc w:val="both"/>
            </w:pPr>
            <w:r>
              <w:rPr>
                <w:rFonts w:ascii="Times New Roman" w:hAnsi="Times New Roman" w:eastAsia="바탕"/>
                <w:sz w:val="20"/>
              </w:rPr>
              <w:t>Professor Katarina Vučićević of the University of Belgrade wrote that the refrigerated-storage and midday morphemes are confusable and proposed at least two colours: black and red for warnings, black and yellow for daytime. It is a request to revisit the decision in §3.7 to use colour only for the verdict and keep morphemes in black and white.</w:t>
            </w:r>
          </w:p>
          <w:p>
            <w:pPr>
              <w:spacing w:after="80" w:line="276" w:lineRule="auto"/>
              <w:jc w:val="both"/>
            </w:pPr>
            <w:r>
              <w:rPr>
                <w:rFonts w:ascii="Times New Roman" w:hAnsi="Times New Roman" w:eastAsia="바탕"/>
                <w:sz w:val="20"/>
              </w:rPr>
              <w:t>Professor Kyogu Lee of Seoul National University raised three things by email reply: whether recombining 78 morphemes can really cover the full range of medicines and regimens; that with the audio alongside it helps, but some pictures are not particularly intuitive; and that where the instruction is negative the pictogram should carry a slash or X, which is missing in the alcohol and pregnancy cases. The last of these found the same defect independently of the four countries in the previous section. The same respondent also proposed push notifications at dosing times and a speech-synthesis toolchain for multilingual expansion.</w:t>
            </w:r>
          </w:p>
          <w:p>
            <w:pPr>
              <w:spacing w:after="80" w:line="276" w:lineRule="auto"/>
              <w:jc w:val="both"/>
            </w:pPr>
            <w:r>
              <w:rPr>
                <w:rFonts w:ascii="Times New Roman" w:hAnsi="Times New Roman" w:eastAsia="바탕"/>
                <w:sz w:val="20"/>
              </w:rPr>
              <w:t xml:space="preserve">Aliya Naheed, Senior Scientist at icddr,b in Bangladesh, pointed at a different layer: for this app to change health outcomes the patient has to be able to buy the full course they were prescribed. What the </w:t>
            </w:r>
            <w:r>
              <w:rPr>
                <w:rFonts w:ascii="Consolas" w:hAnsi="Consolas" w:eastAsia="Consolas"/>
                <w:sz w:val="19"/>
              </w:rPr>
              <w:t>finish_course</w:t>
            </w:r>
            <w:r>
              <w:rPr>
                <w:rFonts w:ascii="Times New Roman" w:hAnsi="Times New Roman" w:eastAsia="바탕"/>
                <w:sz w:val="20"/>
              </w:rPr>
              <w:t xml:space="preserve"> morpheme sets out to convey is completing the course, and if there is no money for the medicine, completing it does not happen however well the picture arrives.</w:t>
            </w:r>
          </w:p>
          <w:p>
            <w:pPr>
              <w:spacing w:after="80" w:line="276" w:lineRule="auto"/>
              <w:jc w:val="both"/>
            </w:pPr>
            <w:r>
              <w:rPr>
                <w:rFonts w:ascii="Times New Roman" w:hAnsi="Times New Roman" w:eastAsia="바탕"/>
                <w:sz w:val="20"/>
              </w:rPr>
              <w:t>Kyungseo Park, Assistant Manager at the Korea Disabled People's Development Institute, wrote that being unable to read arises from a range of circumstances including old age, childhood, blindness and low vision, and added that the same institute has run a typeface development project for legibility.</w:t>
            </w:r>
          </w:p>
          <w:p>
            <w:pPr>
              <w:spacing w:after="80" w:line="276" w:lineRule="auto"/>
              <w:jc w:val="both"/>
            </w:pPr>
            <w:r>
              <w:rPr>
                <w:rFonts w:ascii="Times New Roman" w:hAnsi="Times New Roman" w:eastAsia="바탕"/>
                <w:sz w:val="20"/>
              </w:rPr>
              <w:t>Niken Nur Widyakusuma, PhD and pharmacist at Universitas Gadjah Mada in Indonesia, proposed adding markings that can be identified by touch, such as tearing the packaging slightly, for patients with visual impairment. It is a solution outside the screen, and a layer this app does not address.</w:t>
            </w:r>
          </w:p>
          <w:p>
            <w:pPr>
              <w:spacing w:after="80" w:line="276" w:lineRule="auto"/>
              <w:jc w:val="both"/>
            </w:pPr>
            <w:r>
              <w:rPr>
                <w:rFonts w:ascii="Times New Roman" w:hAnsi="Times New Roman" w:eastAsia="바탕"/>
                <w:sz w:val="20"/>
              </w:rPr>
              <w:t>Professor Atif Usman and Professor Hwi-Yeol Yun both recommended referring to existing pictogram sets, the former naming the USP pictograms and the latter the health.kr pictograms of the Korea Pharmaceutical Information Center. This interlocks with the licence clause prohibiting composition described in §1.9, and it is where the differentiation claimed in §2.6 is directly tested.</w:t>
            </w:r>
          </w:p>
          <w:p>
            <w:pPr>
              <w:spacing w:after="80" w:line="276" w:lineRule="auto"/>
              <w:jc w:val="both"/>
            </w:pPr>
            <w:r>
              <w:rPr>
                <w:rFonts w:ascii="Times New Roman" w:hAnsi="Times New Roman" w:eastAsia="바탕"/>
                <w:sz w:val="20"/>
              </w:rPr>
              <w:t>Our sample prescription contained a clinical error. Sheron Sir Loon Goh, Pharmacy Lecturer, noted that amoxicillin capsules are normally stored at room temperature, 25 degrees, and do not require refrigeration at 2–8 degrees. The sample prescription we made was wrong, and we showed it to 1,103 people. The refrigeration morpheme was not misattached; the prescription itself was wrong, so it is not an engine defect, but sending an unvalidated example to experts was our error.</w:t>
            </w:r>
          </w:p>
          <w:p>
            <w:pPr>
              <w:spacing w:after="80" w:line="276" w:lineRule="auto"/>
              <w:jc w:val="both"/>
            </w:pPr>
            <w:r>
              <w:rPr>
                <w:rFonts w:ascii="Times New Roman" w:hAnsi="Times New Roman" w:eastAsia="바탕"/>
                <w:sz w:val="20"/>
              </w:rPr>
              <w:t xml:space="preserve">Prompted by that point we checked all four samples again from the beginning, and four more came out that nobody had raised. The warnings box of the same amoxicillin sample read "Not for use in pregnancy. Caution if breastfeeding. No alcohol." </w:t>
            </w:r>
            <w:r>
              <w:rPr>
                <w:rFonts w:ascii="Times New Roman" w:hAnsi="Times New Roman" w:eastAsia="바탕"/>
                <w:b/>
                <w:sz w:val="20"/>
              </w:rPr>
              <w:t>All three are wrong.</w:t>
            </w:r>
            <w:r>
              <w:rPr>
                <w:rFonts w:ascii="Times New Roman" w:hAnsi="Times New Roman" w:eastAsia="바탕"/>
                <w:sz w:val="20"/>
              </w:rPr>
              <w:t xml:space="preserve"> Amoxicillin is an antibiotic widely used in pregnancy (the NHS writes "It is safe to take amoxicillin during pregnancy"), the amount reaching breast milk is on the order of 0.1 mg/kg a day so it is acceptable while breastfeeding (StatPearls, NBK482250), and it has no clinically significant interaction with alcohol. "Caution if breastfeeding" on the paracetamol sample is the same kind of error. Paracetamol is the analgesic of choice while breastfeeding. "Not for use in pregnancy" on the eye-drop sample is wrong too. The NHS writes that "Chloramphenicol eye treatments and ear drops can be used in pregnancy" and treats them as first choice for an eye infection in pregnancy, because systemic absorption is minimal.</w:t>
            </w:r>
          </w:p>
          <w:p>
            <w:pPr>
              <w:spacing w:after="80" w:line="276" w:lineRule="auto"/>
              <w:jc w:val="both"/>
            </w:pPr>
            <w:r>
              <w:rPr>
                <w:rFonts w:ascii="Times New Roman" w:hAnsi="Times New Roman" w:eastAsia="바탕"/>
                <w:sz w:val="20"/>
              </w:rPr>
              <w:t>All four errors are of one character. When making the samples we filled the warnings box with plausible-sounding wording, and plausible and correct are different things. Three of the four were pregnancy contraindications, which is the easiest line to put in a warnings box, and the more so because that is what we wanted to demonstrate.</w:t>
            </w:r>
          </w:p>
          <w:p>
            <w:pPr>
              <w:spacing w:after="80" w:line="276" w:lineRule="auto"/>
              <w:jc w:val="both"/>
            </w:pPr>
            <w:r>
              <w:rPr>
                <w:rFonts w:ascii="Times New Roman" w:hAnsi="Times New Roman" w:eastAsia="바탕"/>
                <w:sz w:val="20"/>
              </w:rPr>
              <w:t>We record this here because the heaviest finding in §5.7 stands on this sample. The point raised independently in four countries, that a prohibition is not read as a prohibition, was about the pregnancy picture carrying no slash, and the engine defect it pointed at was real and has been fixed. But the prescription that demonstrated the defect was itself a faulty example that attached a pregnancy contraindication to amoxicillin. The finding about the engine stands; that the place it was shown was wrong has to be recorded alongside it.</w:t>
            </w:r>
          </w:p>
          <w:p>
            <w:pPr>
              <w:spacing w:after="80" w:line="276" w:lineRule="auto"/>
              <w:jc w:val="both"/>
            </w:pPr>
            <w:r>
              <w:rPr>
                <w:rFonts w:ascii="Times New Roman" w:hAnsi="Times New Roman" w:eastAsia="바탕"/>
                <w:sz w:val="20"/>
              </w:rPr>
              <w:t xml:space="preserve">We corrected the samples. The amoxicillin warnings were changed to penicillin allergy and finishing the course, and the eye drops to not wearing contact lenses and not sharing the bottle. Finishing the course is the very thing the </w:t>
            </w:r>
            <w:r>
              <w:rPr>
                <w:rFonts w:ascii="Consolas" w:hAnsi="Consolas" w:eastAsia="Consolas"/>
                <w:sz w:val="19"/>
              </w:rPr>
              <w:t>finish_course</w:t>
            </w:r>
            <w:r>
              <w:rPr>
                <w:rFonts w:ascii="Times New Roman" w:hAnsi="Times New Roman" w:eastAsia="바탕"/>
                <w:sz w:val="20"/>
              </w:rPr>
              <w:t xml:space="preserve"> morpheme is said to aim at in the SDG 3.d discussion of §5.8, and the demonstration of a pregnancy contraindication was moved to the ibuprofen sample, an NSAID. Contraindication of NSAIDs in the third trimester is a real contraindication.</w:t>
            </w:r>
          </w:p>
          <w:p>
            <w:pPr>
              <w:spacing w:after="80" w:line="276" w:lineRule="auto"/>
              <w:jc w:val="both"/>
            </w:pPr>
            <w:r>
              <w:rPr>
                <w:rFonts w:ascii="Times New Roman" w:hAnsi="Times New Roman" w:eastAsia="바탕"/>
                <w:sz w:val="20"/>
              </w:rPr>
              <w:t>That all three are problems with the example we made rather than with the engine is the same as the refrigeration error before them. And it says the same thing this section leaves in §5.9. Not one sample in this document has been reviewed by a pharmacist.</w:t>
            </w:r>
          </w:p>
          <w:p>
            <w:pPr>
              <w:spacing w:before="120" w:after="20"/>
            </w:pPr>
            <w:r>
              <w:rPr>
                <w:rFonts w:ascii="Times New Roman" w:hAnsi="Times New Roman" w:eastAsia="바탕"/>
                <w:b/>
                <w:sz w:val="21"/>
              </w:rPr>
              <w:t>5.7.8 Objections to the approach itself</w:t>
            </w:r>
          </w:p>
          <w:p>
            <w:pPr>
              <w:spacing w:after="80" w:line="276" w:lineRule="auto"/>
              <w:jc w:val="both"/>
            </w:pPr>
            <w:r>
              <w:rPr>
                <w:rFonts w:ascii="Times New Roman" w:hAnsi="Times New Roman" w:eastAsia="바탕"/>
                <w:sz w:val="20"/>
              </w:rPr>
              <w:t>The sharpest response asked whether our product is needed at all. The team leader at the GC Medi-AI Uisarang Service Centre wrote five things: that Korean prescriptions already carry a barcode, so scanning the whole sheet is inefficient; that apps reading the barcode and guiding people with disabilities already exist; that medication counselling is a legal duty of pharmacists and doctors and that many solutions for it already exist; that the market for a business aimed at people who cannot read is too small relative to the investment; and that electronic prescriptions are being prepared, so once they arrive this becomes useless.</w:t>
            </w:r>
          </w:p>
          <w:p>
            <w:pPr>
              <w:spacing w:after="80" w:line="276" w:lineRule="auto"/>
              <w:jc w:val="both"/>
            </w:pPr>
            <w:r>
              <w:rPr>
                <w:rFonts w:ascii="Times New Roman" w:hAnsi="Times New Roman" w:eastAsia="바탕"/>
                <w:sz w:val="20"/>
              </w:rPr>
              <w:t>We include the response as it stands because there is something in it we have to answer. Three of the five do not conflict with our design. Barcodes are on Korean prescriptions but not on the paper prescriptions of the countries covered in §1.1, and electronic prescriptions will not arrive in those countries first either. That counselling is a legal duty has to be read alongside the physician-density gap cited in §1.4; a duty existing and there being time to discharge it are different things.</w:t>
            </w:r>
          </w:p>
          <w:p>
            <w:pPr>
              <w:spacing w:after="80" w:line="276" w:lineRule="auto"/>
              <w:jc w:val="both"/>
            </w:pPr>
            <w:r>
              <w:rPr>
                <w:rFonts w:ascii="Times New Roman" w:hAnsi="Times New Roman" w:eastAsia="바탕"/>
                <w:sz w:val="20"/>
              </w:rPr>
              <w:t>For the other two we have no answer. That the domestic market is small is true, and how this app differs from solutions that already exist is what the table in §2.6 tried to answer, but that table is the result of us choosing the comparators. This respondent is in a position to know the comparators we did not choose.</w:t>
            </w:r>
          </w:p>
          <w:p>
            <w:pPr>
              <w:spacing w:after="80" w:line="276" w:lineRule="auto"/>
              <w:jc w:val="both"/>
            </w:pPr>
            <w:r>
              <w:rPr>
                <w:rFonts w:ascii="Times New Roman" w:hAnsi="Times New Roman" w:eastAsia="바탕"/>
                <w:sz w:val="20"/>
              </w:rPr>
              <w:t>A finding in the same direction came from the industry-practice segment. Cheolhyeon Park, Team Leader at VOICEYE, wrote that "however good a product or piece of software is, without recognition at the client or operator level there is no diffusion", and added that anyone thinking about commercialisation should propose it to a body such as the Korean Pharmaceutical Association and settle both acceptability and price.</w:t>
            </w:r>
          </w:p>
          <w:p>
            <w:pPr>
              <w:spacing w:before="120" w:after="20"/>
            </w:pPr>
            <w:r>
              <w:rPr>
                <w:rFonts w:ascii="Times New Roman" w:hAnsi="Times New Roman" w:eastAsia="바탕"/>
                <w:b/>
                <w:sz w:val="21"/>
              </w:rPr>
              <w:t>5.7.9 Responses that made us revisit our premise</w:t>
            </w:r>
          </w:p>
          <w:p>
            <w:pPr>
              <w:spacing w:after="80" w:line="276" w:lineRule="auto"/>
              <w:jc w:val="both"/>
            </w:pPr>
            <w:r>
              <w:rPr>
                <w:rFonts w:ascii="Times New Roman" w:hAnsi="Times New Roman" w:eastAsia="바탕"/>
                <w:sz w:val="20"/>
              </w:rPr>
              <w:t>The finding from Professor Heejung Seo of Dong-eui University was the most fundamental in this survey.</w:t>
            </w:r>
          </w:p>
          <w:p>
            <w:pPr>
              <w:spacing w:after="180" w:line="276" w:lineRule="auto"/>
              <w:ind w:left="403"/>
            </w:pPr>
            <w:r>
              <w:rPr>
                <w:rFonts w:ascii="Times New Roman" w:hAnsi="Times New Roman" w:eastAsia="바탕"/>
                <w:i/>
                <w:color w:val="606068"/>
                <w:sz w:val="19"/>
              </w:rPr>
              <w:t>"Pictograms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w:t>
            </w:r>
          </w:p>
          <w:p>
            <w:pPr>
              <w:spacing w:after="80" w:line="276" w:lineRule="auto"/>
              <w:jc w:val="both"/>
            </w:pPr>
            <w:r>
              <w:rPr>
                <w:rFonts w:ascii="Times New Roman" w:hAnsi="Times New Roman" w:eastAsia="바탕"/>
                <w:sz w:val="20"/>
              </w:rPr>
              <w:t>In §2.1 we assumed that removing text lowers the barrier. This response inverts that assumption. For someone who cannot read, black shapes sitting on paper may already be "writing", and whether it is a picture or a letter may be a distinction only a reader makes. The pictogram comprehension studies cited in §1.8 measured comprehension after a picture was recognised as a picture. Whether a picture is recognised as a picture was not measured.</w:t>
            </w:r>
          </w:p>
          <w:p>
            <w:pPr>
              <w:spacing w:after="80" w:line="276" w:lineRule="auto"/>
              <w:jc w:val="both"/>
            </w:pPr>
            <w:r>
              <w:rPr>
                <w:rFonts w:ascii="Times New Roman" w:hAnsi="Times New Roman" w:eastAsia="바탕"/>
                <w:sz w:val="20"/>
              </w:rPr>
              <w:t>One more response reached the same place from another angle. Asked whether speech can replace the written explanation, Barbara Báldy of Semmelweis University answered:</w:t>
            </w:r>
          </w:p>
          <w:p>
            <w:pPr>
              <w:spacing w:after="40" w:line="276" w:lineRule="auto"/>
              <w:ind w:left="403"/>
            </w:pPr>
            <w:r>
              <w:rPr>
                <w:rFonts w:ascii="Times New Roman" w:hAnsi="Times New Roman" w:eastAsia="바탕"/>
                <w:i/>
                <w:color w:val="606068"/>
                <w:sz w:val="19"/>
              </w:rPr>
              <w:t>"If a patient can't read the original text (not able to or lost their eyesight), the text format is not necessary. BUT patient safety protocols suggest to use verbal, visual and text instructions."</w:t>
            </w:r>
          </w:p>
          <w:p>
            <w:pPr>
              <w:spacing w:after="180" w:line="276" w:lineRule="auto"/>
              <w:ind w:left="403"/>
            </w:pPr>
            <w:r>
              <w:rPr>
                <w:rFonts w:ascii="Times New Roman" w:hAnsi="Times New Roman" w:eastAsia="바탕"/>
                <w:i w:val="0"/>
                <w:color w:val="606068"/>
                <w:sz w:val="19"/>
              </w:rPr>
              <w:t>(Barbara Báldy, Semmelweis University)</w:t>
            </w:r>
          </w:p>
          <w:p>
            <w:pPr>
              <w:spacing w:after="80" w:line="276" w:lineRule="auto"/>
              <w:jc w:val="both"/>
            </w:pPr>
            <w:r>
              <w:rPr>
                <w:rFonts w:ascii="Times New Roman" w:hAnsi="Times New Roman" w:eastAsia="바탕"/>
                <w:sz w:val="20"/>
              </w:rPr>
              <w:t>The first half agrees with us and the second does not. That text is unnecessary for someone who cannot read it is the premise of this app, but patient safety protocols call for verbal, visual and written instructions together. We removed the text. §2.1 records that as removing a barrier; this response reads the same decision as a departure from protocol.</w:t>
            </w:r>
          </w:p>
          <w:p>
            <w:pPr>
              <w:spacing w:after="80" w:line="276" w:lineRule="auto"/>
              <w:jc w:val="both"/>
            </w:pPr>
            <w:r>
              <w:rPr>
                <w:rFonts w:ascii="Times New Roman" w:hAnsi="Times New Roman" w:eastAsia="바탕"/>
                <w:sz w:val="20"/>
              </w:rPr>
              <w:t>Both readings can be true at once. Where text remains, a literate carer or pharmacist can check it, and that is presumably why the protocols ask for all three. This app moved that checking path into the teach-back of §3.8 and the provider screen of §4.4, but whether what we moved satisfies the protocol is not ours to judge. This is a reason the field evaluation of §5.10 needs someone who knows clinical protocol in it.</w:t>
            </w:r>
          </w:p>
          <w:p>
            <w:pPr>
              <w:spacing w:after="80" w:line="276" w:lineRule="auto"/>
              <w:jc w:val="both"/>
            </w:pPr>
            <w:r>
              <w:rPr>
                <w:rFonts w:ascii="Times New Roman" w:hAnsi="Times New Roman" w:eastAsia="바탕"/>
                <w:sz w:val="20"/>
              </w:rPr>
              <w:t>The point from Professor Eun-Kyoung Kim of Kongju National University runs the same way.</w:t>
            </w:r>
          </w:p>
          <w:p>
            <w:pPr>
              <w:spacing w:after="180" w:line="276" w:lineRule="auto"/>
              <w:ind w:left="403"/>
            </w:pPr>
            <w:r>
              <w:rPr>
                <w:rFonts w:ascii="Times New Roman" w:hAnsi="Times New Roman" w:eastAsia="바탕"/>
                <w:i/>
                <w:color w:val="606068"/>
                <w:sz w:val="19"/>
              </w:rPr>
              <w:t>"Even to me, in my forties, it was hard to grasp at once what the images were saying. I would expect older people unfamiliar with images of this kind to find it harder still."</w:t>
            </w:r>
          </w:p>
          <w:p>
            <w:pPr>
              <w:spacing w:after="80" w:line="276" w:lineRule="auto"/>
              <w:jc w:val="both"/>
            </w:pPr>
            <w:r>
              <w:rPr>
                <w:rFonts w:ascii="Times New Roman" w:hAnsi="Times New Roman" w:eastAsia="바탕"/>
                <w:sz w:val="20"/>
              </w:rPr>
              <w:t>Professor Kyunghwa Lee of Soongsil University wrote that whether the pictures are fully understood depends on whether the target's level is a matter of literacy alone or also of age and information comprehension, and that more consideration is needed if the prescription is for a condition requiring more expertise than eye drops.</w:t>
            </w:r>
          </w:p>
          <w:p>
            <w:pPr>
              <w:spacing w:after="80" w:line="276" w:lineRule="auto"/>
              <w:jc w:val="both"/>
            </w:pPr>
            <w:r>
              <w:rPr>
                <w:rFonts w:ascii="Times New Roman" w:hAnsi="Times New Roman" w:eastAsia="바탕"/>
                <w:sz w:val="20"/>
              </w:rPr>
              <w:t>Professor Namsoo Park of Hyupsung University pointed at digital literacy. How well people who cannot read handle a mobile device has to be examined first, and the app in fact contains an instruction reading "select any that apply to you", which blocks that screen for anyone who cannot read it. This is a direct finding about the profile-setup screen of §3.2.</w:t>
            </w:r>
          </w:p>
          <w:p>
            <w:pPr>
              <w:spacing w:before="120" w:after="20"/>
            </w:pPr>
            <w:r>
              <w:rPr>
                <w:rFonts w:ascii="Times New Roman" w:hAnsi="Times New Roman" w:eastAsia="바탕"/>
                <w:b/>
                <w:sz w:val="21"/>
              </w:rPr>
              <w:t>5.7.10 New risks our design could create</w:t>
            </w:r>
          </w:p>
          <w:p>
            <w:pPr>
              <w:spacing w:after="80" w:line="276" w:lineRule="auto"/>
              <w:jc w:val="both"/>
            </w:pPr>
            <w:r>
              <w:rPr>
                <w:rFonts w:ascii="Times New Roman" w:hAnsi="Times New Roman" w:eastAsia="바탕"/>
                <w:sz w:val="20"/>
              </w:rPr>
              <w:t>Professor and pharmacist So-Young Lee of Chungnam National University pointed out that this app could create a risk that did not exist before.</w:t>
            </w:r>
          </w:p>
          <w:p>
            <w:pPr>
              <w:spacing w:after="180" w:line="276" w:lineRule="auto"/>
              <w:ind w:left="403"/>
            </w:pPr>
            <w:r>
              <w:rPr>
                <w:rFonts w:ascii="Times New Roman" w:hAnsi="Times New Roman" w:eastAsia="바탕"/>
                <w:i/>
                <w:color w:val="606068"/>
                <w:sz w:val="19"/>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p>
            <w:pPr>
              <w:spacing w:after="80" w:line="276" w:lineRule="auto"/>
              <w:jc w:val="both"/>
            </w:pPr>
            <w:r>
              <w:rPr>
                <w:rFonts w:ascii="Times New Roman" w:hAnsi="Times New Roman" w:eastAsia="바탕"/>
                <w:sz w:val="20"/>
              </w:rPr>
              <w:t>In §2.4 we designed contraindications to be displayed according to the user's conditions. In clinical practice, however, there are cases where a drug is prescribed in full knowledge of the risk, and an app displaying the contraindication then amounts to voiding the prescription. Professor Katarina Vučićević of the University of Belgrade writing that "it should go through a pharmacist so that the pharmacy's information and the app's information do not diverge", and 9 of the 12 in the pharmacy segment answering that a pharmacist should review every time, both read as the same concern.</w:t>
            </w:r>
          </w:p>
          <w:p>
            <w:pPr>
              <w:spacing w:after="80" w:line="276" w:lineRule="auto"/>
              <w:jc w:val="both"/>
            </w:pPr>
            <w:r>
              <w:rPr>
                <w:rFonts w:ascii="Times New Roman" w:hAnsi="Times New Roman" w:eastAsia="바탕"/>
                <w:sz w:val="20"/>
              </w:rPr>
              <w:t>This runs directly into the differentiator we put forward in §2.6, that the verdict is derived from an individual's requirement. A personalised verdict cannot beat a personalised prescription.</w:t>
            </w:r>
          </w:p>
          <w:p>
            <w:pPr>
              <w:spacing w:after="80" w:line="276" w:lineRule="auto"/>
              <w:jc w:val="both"/>
            </w:pPr>
            <w:r>
              <w:rPr>
                <w:rFonts w:ascii="Times New Roman" w:hAnsi="Times New Roman" w:eastAsia="바탕"/>
                <w:sz w:val="20"/>
              </w:rPr>
              <w:t>A response in the same direction raised the question of order. Asked whether the app could fit a pharmacy workflow, Associate Professor Hangil Lee withheld judgement and gave the reason.</w:t>
            </w:r>
          </w:p>
          <w:p>
            <w:pPr>
              <w:spacing w:after="40" w:line="276" w:lineRule="auto"/>
              <w:ind w:left="403"/>
            </w:pPr>
            <w:r>
              <w:rPr>
                <w:rFonts w:ascii="Times New Roman" w:hAnsi="Times New Roman" w:eastAsia="바탕"/>
                <w:i/>
                <w:color w:val="606068"/>
                <w:sz w:val="19"/>
              </w:rPr>
              <w:t>"The accuracy of the app has to be secured before its convenience for it to be usable in practice, and I think it should be used as an auxiliary tool for the pharmacist."</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That stings, because what this document measures from §5.1 to §5.6 is largely arrival and operation rather than accuracy. This respondent is telling us to measure first the thing we did not measure. And the first item in §5.9, that there has been no comprehension testing with people, is exactly that place.</w:t>
            </w:r>
          </w:p>
          <w:p>
            <w:pPr>
              <w:spacing w:after="80" w:line="276" w:lineRule="auto"/>
              <w:jc w:val="both"/>
            </w:pPr>
            <w:r>
              <w:rPr>
                <w:rFonts w:ascii="Times New Roman" w:hAnsi="Times New Roman" w:eastAsia="바탕"/>
                <w:sz w:val="20"/>
              </w:rPr>
              <w:t>The same respondent left a line about what must not be conveyed by picture and speech alone. Only one option could be selected, so they chose contraindications, but side effects and cases needing dose adjustment belong there too. The respondent filled in the limits of our question design for us, and it is why this section has to read the multiple-choice results alongside the free text.</w:t>
            </w:r>
          </w:p>
          <w:p>
            <w:pPr>
              <w:spacing w:before="120" w:after="20"/>
            </w:pPr>
            <w:r>
              <w:rPr>
                <w:rFonts w:ascii="Times New Roman" w:hAnsi="Times New Roman" w:eastAsia="바탕"/>
                <w:b/>
                <w:sz w:val="21"/>
              </w:rPr>
              <w:t>5.7.11 Advice on the evaluation design</w:t>
            </w:r>
          </w:p>
          <w:p>
            <w:pPr>
              <w:spacing w:after="80" w:line="276" w:lineRule="auto"/>
              <w:jc w:val="both"/>
            </w:pPr>
            <w:r>
              <w:rPr>
                <w:rFonts w:ascii="Times New Roman" w:hAnsi="Times New Roman" w:eastAsia="바탕"/>
                <w:sz w:val="20"/>
              </w:rPr>
              <w:t>The field evaluation design in §5.10 was revised in line with the responses. Advice came from four places.</w:t>
            </w:r>
          </w:p>
          <w:p>
            <w:pPr>
              <w:spacing w:after="80" w:line="276" w:lineRule="auto"/>
              <w:jc w:val="both"/>
            </w:pPr>
            <w:r>
              <w:rPr>
                <w:rFonts w:ascii="Times New Roman" w:hAnsi="Times New Roman" w:eastAsia="바탕"/>
                <w:sz w:val="20"/>
              </w:rPr>
              <w:t>Foued Maaoui, researcher at the Pasteur Institute of Tunis, asked for low-literate participants rather than educated volunteers, predefined scoring criteria and blinded assessors, separate testing of pictogram-only, audio-only and both, real prescriptions rather than a clean demonstration, and audio in a language matching the participants'.</w:t>
            </w:r>
          </w:p>
          <w:p>
            <w:pPr>
              <w:spacing w:after="80" w:line="276" w:lineRule="auto"/>
              <w:jc w:val="both"/>
            </w:pPr>
            <w:r>
              <w:rPr>
                <w:rFonts w:ascii="Times New Roman" w:hAnsi="Times New Roman" w:eastAsia="바탕"/>
                <w:sz w:val="20"/>
              </w:rPr>
              <w:t xml:space="preserve">Myojung Choi, researcher at the Korea Disabled People's Development Institute, cited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to the effect that a small sample of around 15 can secure the validity of a usability evaluation, and that a small sample in fact allows user behaviour and reactions to be grasped in detail, recommending behavioural analysis alongside the survey responses.</w:t>
            </w:r>
          </w:p>
          <w:p>
            <w:pPr>
              <w:spacing w:after="80" w:line="276" w:lineRule="auto"/>
              <w:jc w:val="both"/>
            </w:pPr>
            <w:r>
              <w:rPr>
                <w:rFonts w:ascii="Times New Roman" w:hAnsi="Times New Roman" w:eastAsia="바탕"/>
                <w:sz w:val="20"/>
              </w:rPr>
              <w:t>Yonghan Lee, Senior Manager at the Korea Craft and Design Foundation, wrote that the sample should be balanced by age, level of schooling and sex, that participants should have no prior knowledge of the pictograms in question, and that the method should have them describe the meaning. He added that multiple choice looks meaningless, which is the same judgement behind our decision in §5.2 not to offer options.</w:t>
            </w:r>
          </w:p>
          <w:p>
            <w:pPr>
              <w:spacing w:after="80" w:line="276" w:lineRule="auto"/>
              <w:jc w:val="both"/>
            </w:pPr>
            <w:r>
              <w:rPr>
                <w:rFonts w:ascii="Times New Roman" w:hAnsi="Times New Roman" w:eastAsia="바탕"/>
                <w:sz w:val="20"/>
              </w:rPr>
              <w:t>Professor Celia of the University of Pretoria recommended using an adherence instrument together with the K-HLAT-8 and HLS family of instruments. Professor Namsoo Park of Hyupsung University judged that since the purpose of this app is comprehension of medication instructions, measuring user satisfaction, intention to continue using it and the degree of improvement in convenience fits better than a health-literacy instrument.</w:t>
            </w:r>
          </w:p>
          <w:p>
            <w:pPr>
              <w:spacing w:after="80" w:line="276" w:lineRule="auto"/>
              <w:jc w:val="both"/>
            </w:pPr>
            <w:r>
              <w:rPr>
                <w:rFonts w:ascii="Times New Roman" w:hAnsi="Times New Roman" w:eastAsia="바탕"/>
                <w:sz w:val="20"/>
              </w:rPr>
              <w:t>Sheron Sir Loon Goh, Pharmacy Lecturer, asked for one more thing ahead of the test: before launching the app, seek professional advice from local pharmacists on whether the symbols are appropriate in the local context. That five clinical errors turned up in our sample prescriptions in §5.7 shows why that advice is needed. We corrected them against public sources without review, and for the 78 morphemes we have not even done that much checking.</w:t>
            </w:r>
          </w:p>
          <w:p>
            <w:pPr>
              <w:spacing w:after="80" w:line="276" w:lineRule="auto"/>
              <w:jc w:val="both"/>
            </w:pPr>
            <w:r>
              <w:rPr>
                <w:rFonts w:ascii="Times New Roman" w:hAnsi="Times New Roman" w:eastAsia="바탕"/>
                <w:sz w:val="20"/>
              </w:rPr>
              <w:t xml:space="preserve">The same respondent also pointed us to a reference: a study testing pictograms designed in Malaysia on that country's population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We record why its results are not used in the body: all three routes, the publisher, DOAJ and Semantic Scholar, failed to open the abstract, and we could not confirm the figures in the search summary at a primary source. What is recorded here is only that the survey pointed us to literature we did not know.</w:t>
            </w:r>
          </w:p>
          <w:p>
            <w:pPr>
              <w:spacing w:after="80" w:line="276" w:lineRule="auto"/>
              <w:jc w:val="both"/>
            </w:pPr>
            <w:r>
              <w:rPr>
                <w:rFonts w:ascii="Times New Roman" w:hAnsi="Times New Roman" w:eastAsia="바탕"/>
                <w:sz w:val="20"/>
              </w:rPr>
              <w:t>Professor Eun-Kyoung Kim pointed at the procedure before the test rather than the test itself: explain the purpose and the benefit from the learner's point of view to the institution and the literacy teacher first, obtain their cooperation, and only then use part of a class period. Asked whether a tool like this might reduce the motivation to learn to read, the same respondent answered that it would not, on the grounds that the motivation to learn to read is more than the acquisition of a skill.</w:t>
            </w:r>
          </w:p>
          <w:p>
            <w:pPr>
              <w:spacing w:before="120" w:after="20"/>
            </w:pPr>
            <w:r>
              <w:rPr>
                <w:rFonts w:ascii="Times New Roman" w:hAnsi="Times New Roman" w:eastAsia="바탕"/>
                <w:b/>
                <w:sz w:val="21"/>
              </w:rPr>
              <w:t>5.7.12 Every answer, by occupation</w:t>
            </w:r>
          </w:p>
          <w:p>
            <w:pPr>
              <w:spacing w:after="80" w:line="276" w:lineRule="auto"/>
              <w:jc w:val="both"/>
            </w:pPr>
            <w:r>
              <w:rPr>
                <w:rFonts w:ascii="Times New Roman" w:hAnsi="Times New Roman" w:eastAsia="바탕"/>
                <w:sz w:val="20"/>
              </w:rPr>
              <w:t>The preceding subsections quoted only the questions we selected. To see whether the basis of that selection tilted one way, we laid out the whole tally by occupation again. It had tilted. There were places where the figure unfavourable to us was included and the favourable one omitted, and the bold rows in the table below are those.</w:t>
            </w:r>
          </w:p>
          <w:p>
            <w:pPr>
              <w:spacing w:after="80" w:line="276" w:lineRule="auto"/>
              <w:jc w:val="both"/>
            </w:pPr>
            <w:r>
              <w:rPr>
                <w:rFonts w:ascii="Times New Roman" w:hAnsi="Times New Roman" w:eastAsia="바탕"/>
                <w:sz w:val="20"/>
              </w:rPr>
              <w:t>[Table 46] Every answer by occupation (the denominator is the number of respondents in that occupation)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Occupation</w:t>
                  </w:r>
                </w:p>
              </w:tc>
              <w:tc>
                <w:tcPr>
                  <w:tcW w:type="dxa" w:w="2429"/>
                  <w:shd w:val="clear" w:fill="F2F2F2"/>
                </w:tcPr>
                <w:p>
                  <w:r>
                    <w:rPr>
                      <w:rFonts w:ascii="Times New Roman" w:hAnsi="Times New Roman" w:eastAsia="바탕"/>
                      <w:b/>
                      <w:sz w:val="18"/>
                    </w:rPr>
                    <w:t>Question</w:t>
                  </w:r>
                </w:p>
              </w:tc>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Where in medication counselling should it sit</w:t>
                  </w:r>
                </w:p>
              </w:tc>
              <w:tc>
                <w:tcPr>
                  <w:tcW w:type="dxa" w:w="2429"/>
                </w:tcPr>
                <w:p>
                  <w:r>
                    <w:rPr>
                      <w:rFonts w:ascii="Times New Roman" w:hAnsi="Times New Roman" w:eastAsia="바탕"/>
                      <w:sz w:val="18"/>
                    </w:rPr>
                    <w:t>A tool supporting the pharmacist's explanation</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A means for the patient to check alone at home</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An alternative route for patients a pharmacist cannot reach</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Should a pharmacist review it</w:t>
                  </w:r>
                </w:p>
              </w:tc>
              <w:tc>
                <w:tcPr>
                  <w:tcW w:type="dxa" w:w="2429"/>
                </w:tcPr>
                <w:p>
                  <w:r>
                    <w:rPr>
                      <w:rFonts w:ascii="Times New Roman" w:hAnsi="Times New Roman" w:eastAsia="바탕"/>
                      <w:sz w:val="18"/>
                    </w:rPr>
                    <w:t>Every time, without exception</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Once at the start is enough</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What must not be wrong medically</w:t>
                  </w:r>
                </w:p>
              </w:tc>
              <w:tc>
                <w:tcPr>
                  <w:tcW w:type="dxa" w:w="2429"/>
                </w:tcPr>
                <w:p>
                  <w:r>
                    <w:rPr>
                      <w:rFonts w:ascii="Times New Roman" w:hAnsi="Times New Roman" w:eastAsia="바탕"/>
                      <w:sz w:val="18"/>
                    </w:rPr>
                    <w:t>Dose and frequency</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Contraindications and interactions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Route of administration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Not stopping on one's own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Anything that must not be conveyed by picture and speech alone</w:t>
                  </w:r>
                </w:p>
              </w:tc>
              <w:tc>
                <w:tcPr>
                  <w:tcW w:type="dxa" w:w="2429"/>
                </w:tcPr>
                <w:p>
                  <w:r>
                    <w:rPr>
                      <w:rFonts w:ascii="Times New Roman" w:hAnsi="Times New Roman" w:eastAsia="바탕"/>
                      <w:sz w:val="18"/>
                    </w:rPr>
                    <w:t>Yes. Contraindications and interactions</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Yes. Cases needing dose adjustment</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Yes. Other</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No. In principle all of it can be</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Can it fit the pharmacy workflow</w:t>
                  </w:r>
                </w:p>
              </w:tc>
              <w:tc>
                <w:tcPr>
                  <w:tcW w:type="dxa" w:w="2429"/>
                </w:tcPr>
                <w:p>
                  <w:r>
                    <w:rPr>
                      <w:rFonts w:ascii="Times New Roman" w:hAnsi="Times New Roman" w:eastAsia="바탕"/>
                      <w:sz w:val="18"/>
                    </w:rPr>
                    <w:t>It can be recommended while dispensing</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Difficult, there is no time</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Non-pharmacist staff can help</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It should happen outside the pharmacy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Hard to say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Can it change actual health outcomes</w:t>
                  </w:r>
                </w:p>
              </w:tc>
              <w:tc>
                <w:tcPr>
                  <w:tcW w:type="dxa" w:w="2429"/>
                </w:tcPr>
                <w:p>
                  <w:r>
                    <w:rPr>
                      <w:rFonts w:ascii="Times New Roman" w:hAnsi="Times New Roman" w:eastAsia="바탕"/>
                      <w:sz w:val="18"/>
                    </w:rPr>
                    <w:t>It can, if the conditions are met</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Dosing behaviour may change but not health outcomes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 the field, do people who cannot read fail to receive medication information properly</w:t>
                  </w:r>
                </w:p>
              </w:tc>
              <w:tc>
                <w:tcPr>
                  <w:tcW w:type="dxa" w:w="2429"/>
                </w:tcPr>
                <w:p>
                  <w:r>
                    <w:rPr>
                      <w:rFonts w:ascii="Times New Roman" w:hAnsi="Times New Roman" w:eastAsia="바탕"/>
                      <w:sz w:val="18"/>
                    </w:rPr>
                    <w:t>Yes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For an older patient living alone, where does it fail first</w:t>
                  </w:r>
                </w:p>
              </w:tc>
              <w:tc>
                <w:tcPr>
                  <w:tcW w:type="dxa" w:w="2429"/>
                </w:tcPr>
                <w:p>
                  <w:r>
                    <w:rPr>
                      <w:rFonts w:ascii="Times New Roman" w:hAnsi="Times New Roman" w:eastAsia="바탕"/>
                      <w:sz w:val="18"/>
                    </w:rPr>
                    <w:t>They cannot operate the screen</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cannot manage the device (charging, loss)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do not trust the app</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Instrument for measuring the effect</w:t>
                  </w:r>
                </w:p>
              </w:tc>
              <w:tc>
                <w:tcPr>
                  <w:tcW w:type="dxa" w:w="2429"/>
                </w:tcPr>
                <w:p>
                  <w:r>
                    <w:rPr>
                      <w:rFonts w:ascii="Times New Roman" w:hAnsi="Times New Roman" w:eastAsia="바탕"/>
                      <w:sz w:val="18"/>
                    </w:rPr>
                    <w:t>An adherence instrument</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health-literacy instrument</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Count medication errors directly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Existing instruments do not fit</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Who should it be designed for</w:t>
                  </w:r>
                </w:p>
              </w:tc>
              <w:tc>
                <w:tcPr>
                  <w:tcW w:type="dxa" w:w="2429"/>
                </w:tcPr>
                <w:p>
                  <w:r>
                    <w:rPr>
                      <w:rFonts w:ascii="Times New Roman" w:hAnsi="Times New Roman" w:eastAsia="바탕"/>
                      <w:sz w:val="18"/>
                    </w:rPr>
                    <w:t>The two separately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Patient / carer / hard to say</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The biggest problem</w:t>
                  </w:r>
                </w:p>
              </w:tc>
              <w:tc>
                <w:tcPr>
                  <w:tcW w:type="dxa" w:w="2429"/>
                </w:tcPr>
                <w:p>
                  <w:r>
                    <w:rPr>
                      <w:rFonts w:ascii="Times New Roman" w:hAnsi="Times New Roman" w:eastAsia="바탕"/>
                      <w:sz w:val="18"/>
                    </w:rPr>
                    <w:t>That there is no validation with users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Can machine pre-screening stand ahead of testing with people</w:t>
                  </w:r>
                </w:p>
              </w:tc>
              <w:tc>
                <w:tcPr>
                  <w:tcW w:type="dxa" w:w="2429"/>
                </w:tcPr>
                <w:p>
                  <w:r>
                    <w:rPr>
                      <w:rFonts w:ascii="Times New Roman" w:hAnsi="Times New Roman" w:eastAsia="바탕"/>
                      <w:sz w:val="18"/>
                    </w:rPr>
                    <w:t>It is justified with conditions attached</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As morpheme combinations grow, what breaks first</w:t>
                  </w:r>
                </w:p>
              </w:tc>
              <w:tc>
                <w:tcPr>
                  <w:tcW w:type="dxa" w:w="2429"/>
                </w:tcPr>
                <w:p>
                  <w:r>
                    <w:rPr>
                      <w:rFonts w:ascii="Times New Roman" w:hAnsi="Times New Roman" w:eastAsia="바탕"/>
                      <w:sz w:val="18"/>
                    </w:rPr>
                    <w:t>It becomes impossible to tell what the main meaning is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How to measure the criterion with a small sample</w:t>
                  </w:r>
                </w:p>
              </w:tc>
              <w:tc>
                <w:tcPr>
                  <w:tcW w:type="dxa" w:w="2429"/>
                </w:tcPr>
                <w:p>
                  <w:r>
                    <w:rPr>
                      <w:rFonts w:ascii="Times New Roman" w:hAnsi="Times New Roman" w:eastAsia="바탕"/>
                      <w:sz w:val="18"/>
                    </w:rPr>
                    <w:t>Choose from options / observe actual behaviour</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Where does a first-time user get stuck</w:t>
                  </w:r>
                </w:p>
              </w:tc>
              <w:tc>
                <w:tcPr>
                  <w:tcW w:type="dxa" w:w="2429"/>
                </w:tcPr>
                <w:p>
                  <w:r>
                    <w:rPr>
                      <w:rFonts w:ascii="Times New Roman" w:hAnsi="Times New Roman" w:eastAsia="바탕"/>
                      <w:sz w:val="18"/>
                    </w:rPr>
                    <w:t>Granting camera permission / they do not get stuck</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it fit the accumulated knowledge of this field</w:t>
                  </w:r>
                </w:p>
              </w:tc>
              <w:tc>
                <w:tcPr>
                  <w:tcW w:type="dxa" w:w="2429"/>
                </w:tcPr>
                <w:p>
                  <w:r>
                    <w:rPr>
                      <w:rFonts w:ascii="Times New Roman" w:hAnsi="Times New Roman" w:eastAsia="바탕"/>
                      <w:sz w:val="18"/>
                    </w:rPr>
                    <w:t>Broadly yes, with places where it diverges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combining 78 morphemes by grammar hold up</w:t>
                  </w:r>
                </w:p>
              </w:tc>
              <w:tc>
                <w:tcPr>
                  <w:tcW w:type="dxa" w:w="2429"/>
                </w:tcPr>
                <w:p>
                  <w:r>
                    <w:rPr>
                      <w:rFonts w:ascii="Times New Roman" w:hAnsi="Times New Roman" w:eastAsia="바탕"/>
                      <w:sz w:val="18"/>
                    </w:rPr>
                    <w:t>It holds up with conditions attached</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Which morphemes will be misread first</w:t>
                  </w:r>
                </w:p>
              </w:tc>
              <w:tc>
                <w:tcPr>
                  <w:tcW w:type="dxa" w:w="2429"/>
                </w:tcPr>
                <w:p>
                  <w:r>
                    <w:rPr>
                      <w:rFonts w:ascii="Times New Roman" w:hAnsi="Times New Roman" w:eastAsia="바탕"/>
                      <w:sz w:val="18"/>
                    </w:rPr>
                    <w:t>Abstract concepts (empty stomach, interaction and so 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The problem that symbols presuppose learning</w:t>
                  </w:r>
                </w:p>
              </w:tc>
              <w:tc>
                <w:tcPr>
                  <w:tcW w:type="dxa" w:w="2429"/>
                </w:tcPr>
                <w:p>
                  <w:r>
                    <w:rPr>
                      <w:rFonts w:ascii="Times New Roman" w:hAnsi="Times New Roman" w:eastAsia="바탕"/>
                      <w:sz w:val="18"/>
                    </w:rPr>
                    <w:t>It holds for some categories only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Is there a place for it in adult literacy education</w:t>
                  </w:r>
                </w:p>
              </w:tc>
              <w:tc>
                <w:tcPr>
                  <w:tcW w:type="dxa" w:w="2429"/>
                </w:tcPr>
                <w:p>
                  <w:r>
                    <w:rPr>
                      <w:rFonts w:ascii="Times New Roman" w:hAnsi="Times New Roman" w:eastAsia="바탕"/>
                      <w:sz w:val="18"/>
                    </w:rPr>
                    <w:t>Yes, but the form has to change</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Does it reduce the motivation to learn to read</w:t>
                  </w:r>
                </w:p>
              </w:tc>
              <w:tc>
                <w:tcPr>
                  <w:tcW w:type="dxa" w:w="2429"/>
                </w:tcPr>
                <w:p>
                  <w:r>
                    <w:rPr>
                      <w:rFonts w:ascii="Times New Roman" w:hAnsi="Times New Roman" w:eastAsia="바탕"/>
                      <w:sz w:val="18"/>
                    </w:rPr>
                    <w:t>No. It helps, if anything</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What is most lacking</w:t>
                  </w:r>
                </w:p>
              </w:tc>
              <w:tc>
                <w:tcPr>
                  <w:tcW w:type="dxa" w:w="2429"/>
                </w:tcPr>
                <w:p>
                  <w:r>
                    <w:rPr>
                      <w:rFonts w:ascii="Times New Roman" w:hAnsi="Times New Roman" w:eastAsia="바탕"/>
                      <w:sz w:val="18"/>
                    </w:rPr>
                    <w:t>A route that reaches users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In operation, what breaks first</w:t>
                  </w:r>
                </w:p>
              </w:tc>
              <w:tc>
                <w:tcPr>
                  <w:tcW w:type="dxa" w:w="2429"/>
                </w:tcPr>
                <w:p>
                  <w:r>
                    <w:rPr>
                      <w:rFonts w:ascii="Times New Roman" w:hAnsi="Times New Roman" w:eastAsia="바탕"/>
                      <w:sz w:val="18"/>
                    </w:rPr>
                    <w:t>Users stop using it after a few days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 (9)</w:t>
                  </w:r>
                </w:p>
              </w:tc>
              <w:tc>
                <w:tcPr>
                  <w:tcW w:type="dxa" w:w="2429"/>
                </w:tcPr>
                <w:p>
                  <w:r>
                    <w:rPr>
                      <w:rFonts w:ascii="Times New Roman" w:hAnsi="Times New Roman" w:eastAsia="바탕"/>
                      <w:sz w:val="18"/>
                    </w:rPr>
                    <w:t>What has to be resolved first</w:t>
                  </w:r>
                </w:p>
              </w:tc>
              <w:tc>
                <w:tcPr>
                  <w:tcW w:type="dxa" w:w="2429"/>
                </w:tcPr>
                <w:p>
                  <w:r>
                    <w:rPr>
                      <w:rFonts w:ascii="Times New Roman" w:hAnsi="Times New Roman" w:eastAsia="바탕"/>
                      <w:sz w:val="18"/>
                    </w:rPr>
                    <w:t>That there is no validation with people</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A route that reaches actual users</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4" name="Picture 44"/>
                  <wp:cNvGraphicFramePr>
                    <a:graphicFrameLocks noChangeAspect="1"/>
                  </wp:cNvGraphicFramePr>
                  <a:graphic>
                    <a:graphicData uri="http://schemas.openxmlformats.org/drawingml/2006/picture">
                      <pic:pic>
                        <pic:nvPicPr>
                          <pic:cNvPr id="0" name="chart18_field_answers.png"/>
                          <pic:cNvPicPr/>
                        </pic:nvPicPr>
                        <pic:blipFill>
                          <a:blip r:embed="rId6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44]</w:t>
            </w:r>
            <w:r>
              <w:rPr>
                <w:rFonts w:ascii="Times New Roman" w:hAnsi="Times New Roman" w:eastAsia="바탕"/>
                <w:color w:val="606068"/>
                <w:sz w:val="18"/>
              </w:rPr>
              <w:t xml:space="preserve"> What the 12 pharmacy and 9 nursing and public-health respondents answered. The denominators are small, so head counts are drawn rather than percentages. The third row on the left and the first row on the right point in different directions. Pharmacy sees things this app cannot handle; nursing sees outcomes that can be changed once the conditions are met.</w:t>
            </w:r>
          </w:p>
          <w:p>
            <w:pPr>
              <w:spacing w:after="80" w:line="276" w:lineRule="auto"/>
              <w:jc w:val="both"/>
            </w:pPr>
            <w:r>
              <w:rPr>
                <w:rFonts w:ascii="Times New Roman" w:hAnsi="Times New Roman" w:eastAsia="바탕"/>
                <w:sz w:val="20"/>
              </w:rPr>
              <w:t>What we had omitted comes first.</w:t>
            </w:r>
          </w:p>
          <w:p>
            <w:pPr>
              <w:spacing w:after="80" w:line="276" w:lineRule="auto"/>
              <w:jc w:val="both"/>
            </w:pPr>
            <w:r>
              <w:rPr>
                <w:rFonts w:ascii="Times New Roman" w:hAnsi="Times New Roman" w:eastAsia="바탕"/>
                <w:sz w:val="20"/>
              </w:rPr>
              <w:t>Eight of the nine nursing and public-health respondents answered that in the field people who cannot read are not receiving medication information properly: 3 "yes" and 5 "partly", against 1 "no". This confirms the premise of §1.1 and §1.2 from the field, and in the earlier subsection we recorded only that 44% of respondents almost never encounter such patients and did not record this question. The two questions ask different things. The first is how often the respondent sees it; the second is what those who have seen it saw. Including only the unfavourable side is the same problem that the appendix in §5.11 exists to address, and it is corrected here.</w:t>
            </w:r>
          </w:p>
          <w:p>
            <w:pPr>
              <w:spacing w:after="80" w:line="276" w:lineRule="auto"/>
              <w:jc w:val="both"/>
            </w:pPr>
            <w:r>
              <w:rPr>
                <w:rFonts w:ascii="Times New Roman" w:hAnsi="Times New Roman" w:eastAsia="바탕"/>
                <w:sz w:val="20"/>
              </w:rPr>
              <w:t>There is one more in the same place. Both HCI and design respondents answered "justified with conditions attached" about our procedure of screening morphemes by asking a vision-language model instead of people (§5.2). That procedure is one of the two rows we claimed in §2.6 to have put down as new, and we had not included the outside judgement on it. The qualifier "with conditions attached" overlaps with the three limitations we set down for ourselves in §5.4.</w:t>
            </w:r>
          </w:p>
          <w:p>
            <w:pPr>
              <w:spacing w:after="80" w:line="276" w:lineRule="auto"/>
              <w:jc w:val="both"/>
            </w:pPr>
            <w:r>
              <w:rPr>
                <w:rFonts w:ascii="Times New Roman" w:hAnsi="Times New Roman" w:eastAsia="바탕"/>
                <w:sz w:val="20"/>
              </w:rPr>
              <w:t>Then the things that read newly.</w:t>
            </w:r>
          </w:p>
          <w:p>
            <w:pPr>
              <w:spacing w:after="80" w:line="276" w:lineRule="auto"/>
              <w:jc w:val="both"/>
            </w:pPr>
            <w:r>
              <w:rPr>
                <w:rFonts w:ascii="Times New Roman" w:hAnsi="Times New Roman" w:eastAsia="바탕"/>
                <w:sz w:val="20"/>
              </w:rPr>
              <w:t>Ten of the twelve pharmacy respondents answered that there are things which must not be conveyed by picture and speech alone: contraindications and interactions for 5, cases needing dose adjustment for 3, other for 2, against 2 who answered that all of it can be. This app includes interactions in its verdict (§2.4), so this answer is a request to narrow the scope of our design. It interlocks with the risk of unilateral discontinuation written by Professor and pharmacist So-Young Lee of Chungnam National University.</w:t>
            </w:r>
          </w:p>
          <w:p>
            <w:pPr>
              <w:spacing w:after="80" w:line="276" w:lineRule="auto"/>
              <w:jc w:val="both"/>
            </w:pPr>
            <w:r>
              <w:rPr>
                <w:rFonts w:ascii="Times New Roman" w:hAnsi="Times New Roman" w:eastAsia="바탕"/>
                <w:sz w:val="20"/>
              </w:rPr>
              <w:t>The nine nursing respondents split on where an older patient living alone fails first: 4 on operating the screen and 4 on managing the device. The latter is charging and loss, which lies outside our design. However much the app is improved, it does not open if the device is flat. The offline operation of §4.5 handles a connection being cut; it does not handle the device being off.</w:t>
            </w:r>
          </w:p>
          <w:p>
            <w:pPr>
              <w:spacing w:after="80" w:line="276" w:lineRule="auto"/>
              <w:jc w:val="both"/>
            </w:pPr>
            <w:r>
              <w:rPr>
                <w:rFonts w:ascii="Times New Roman" w:hAnsi="Times New Roman" w:eastAsia="바탕"/>
                <w:sz w:val="20"/>
              </w:rPr>
              <w:t>Both HCI respondents chose "it becomes impossible to tell what the main meaning is" as what breaks first as morpheme combinations grow. It is the too-many-elements-in-one-image finding of the earlier subsection, said from another side. It is a prediction that things get worse as the set grows, so it has to be measured alongside step 4 of §5.10 when morphemes are added.</w:t>
            </w:r>
          </w:p>
          <w:p>
            <w:pPr>
              <w:spacing w:after="80" w:line="276" w:lineRule="auto"/>
              <w:jc w:val="both"/>
            </w:pPr>
            <w:r>
              <w:rPr>
                <w:rFonts w:ascii="Times New Roman" w:hAnsi="Times New Roman" w:eastAsia="바탕"/>
                <w:sz w:val="20"/>
              </w:rPr>
              <w:t>Asked which morphemes would be misread first, the AAC respondent chose abstract concepts, things like empty stomach and interaction. That agrees with all five of the morphemes we could not improve in §5.3 being problems of concept rather than of form. The same respondent answered that the approach of combining 78 morphemes by grammar "holds up with conditions attached", and that on the point that AAC symbols normally presuppose learning while we expect immediate comprehension from a first-time viewer, it "holds for some categories only". It means the range over which our grammar holds differs by the kind of morpheme.</w:t>
            </w:r>
          </w:p>
          <w:p>
            <w:pPr>
              <w:spacing w:after="80" w:line="276" w:lineRule="auto"/>
              <w:jc w:val="both"/>
            </w:pPr>
            <w:r>
              <w:rPr>
                <w:rFonts w:ascii="Times New Roman" w:hAnsi="Times New Roman" w:eastAsia="바탕"/>
                <w:sz w:val="20"/>
              </w:rPr>
              <w:t>Asked what breaks first in operation, the industry-practice respondent chose "users stop using it after a few days". No measurement in this document addresses continued use. It has been added to the unverified items in §5.9. That the formative evaluation of §5.1 covers only a single capture is what is caught here.</w:t>
            </w:r>
          </w:p>
          <w:p>
            <w:pPr>
              <w:spacing w:before="120" w:after="20"/>
            </w:pPr>
            <w:r>
              <w:rPr>
                <w:rFonts w:ascii="Times New Roman" w:hAnsi="Times New Roman" w:eastAsia="바탕"/>
                <w:b/>
                <w:sz w:val="21"/>
              </w:rPr>
              <w:t>5.7.13 What was fixed after the survey</w:t>
            </w:r>
          </w:p>
          <w:p>
            <w:pPr>
              <w:spacing w:after="80" w:line="276" w:lineRule="auto"/>
              <w:jc w:val="both"/>
            </w:pPr>
            <w:r>
              <w:rPr>
                <w:rFonts w:ascii="Times New Roman" w:hAnsi="Times New Roman" w:eastAsia="바탕"/>
                <w:sz w:val="20"/>
              </w:rPr>
              <w:t>This survey was carried out to fix things rather than to record results and stop, so what was fixed and what further came to light in the fixing is set down here. All of it took place after the survey in August 2026.</w:t>
            </w:r>
          </w:p>
          <w:p>
            <w:pPr>
              <w:spacing w:after="80" w:line="276" w:lineRule="auto"/>
              <w:jc w:val="both"/>
            </w:pPr>
            <w:r>
              <w:rPr>
                <w:rFonts w:ascii="Times New Roman" w:hAnsi="Times New Roman" w:eastAsia="바탕"/>
                <w:sz w:val="20"/>
              </w:rPr>
              <w:t xml:space="preserve">The contraindication marking was fixed. </w:t>
            </w:r>
            <w:r>
              <w:rPr>
                <w:rFonts w:ascii="Consolas" w:hAnsi="Consolas" w:eastAsia="Consolas"/>
                <w:sz w:val="19"/>
              </w:rPr>
              <w:t>contentLabels</w:t>
            </w:r>
            <w:r>
              <w:rPr>
                <w:rFonts w:ascii="Times New Roman" w:hAnsi="Times New Roman" w:eastAsia="바탕"/>
                <w:sz w:val="20"/>
              </w:rPr>
              <w:t xml:space="preserve"> had handled every flag through a single </w:t>
            </w:r>
            <w:r>
              <w:rPr>
                <w:rFonts w:ascii="Consolas" w:hAnsi="Consolas" w:eastAsia="Consolas"/>
                <w:sz w:val="19"/>
              </w:rPr>
              <w:t>avoid</w:t>
            </w:r>
            <w:r>
              <w:rPr>
                <w:rFonts w:ascii="Times New Roman" w:hAnsi="Times New Roman" w:eastAsia="바탕"/>
                <w:sz w:val="20"/>
              </w:rPr>
              <w:t>, and it was split into three according to the nature of the flag. Flags that say what is contained (</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 gain and lose the slash according to the verdict, while flags that say what not to do (</w:t>
            </w:r>
            <w:r>
              <w:rPr>
                <w:rFonts w:ascii="Consolas" w:hAnsi="Consolas" w:eastAsia="Consolas"/>
                <w:sz w:val="19"/>
              </w:rPr>
              <w:t>unsafe_pregnancy</w:t>
            </w:r>
            <w:r>
              <w:rPr>
                <w:rFonts w:ascii="Times New Roman" w:hAnsi="Times New Roman" w:eastAsia="바탕"/>
                <w:sz w:val="20"/>
              </w:rPr>
              <w:t>) are always drawn as prohibited regardless of the verdict.</w:t>
            </w:r>
          </w:p>
          <w:p>
            <w:pPr>
              <w:spacing w:after="80" w:line="276" w:lineRule="auto"/>
              <w:jc w:val="both"/>
            </w:pPr>
            <w:r>
              <w:rPr>
                <w:rFonts w:ascii="Times New Roman" w:hAnsi="Times New Roman" w:eastAsia="바탕"/>
                <w:sz w:val="20"/>
              </w:rPr>
              <w:t xml:space="preserve">Fixing it found one more of the same accident running the other way. An avoid verdict was wrapping </w:t>
            </w:r>
            <w:r>
              <w:rPr>
                <w:rFonts w:ascii="Consolas" w:hAnsi="Consolas" w:eastAsia="Consolas"/>
                <w:sz w:val="19"/>
              </w:rPr>
              <w:t>\no{}</w:t>
            </w:r>
            <w:r>
              <w:rPr>
                <w:rFonts w:ascii="Times New Roman" w:hAnsi="Times New Roman" w:eastAsia="바탕"/>
                <w:sz w:val="20"/>
              </w:rPr>
              <w:t xml:space="preserve"> around every flag, so the no-alcohol morpheme </w:t>
            </w:r>
            <w:r>
              <w:rPr>
                <w:rFonts w:ascii="Consolas" w:hAnsi="Consolas" w:eastAsia="Consolas"/>
                <w:sz w:val="19"/>
              </w:rPr>
              <w:t>no_alcohol</w:t>
            </w:r>
            <w:r>
              <w:rPr>
                <w:rFonts w:ascii="Times New Roman" w:hAnsi="Times New Roman" w:eastAsia="바탕"/>
                <w:sz w:val="20"/>
              </w:rPr>
              <w:t xml:space="preserve"> became </w:t>
            </w:r>
            <w:r>
              <w:rPr>
                <w:rFonts w:ascii="Consolas" w:hAnsi="Consolas" w:eastAsia="Consolas"/>
                <w:sz w:val="19"/>
              </w:rPr>
              <w:t>\no{\no_alcohol}</w:t>
            </w:r>
            <w:r>
              <w:rPr>
                <w:rFonts w:ascii="Times New Roman" w:hAnsi="Times New Roman" w:eastAsia="바탕"/>
                <w:sz w:val="20"/>
              </w:rPr>
              <w:t xml:space="preserve"> and the no-alcohol marking was getting a slash through it. Putting a slash through a picture saying do not drink means it is fine to drink. The bleeding warning </w:t>
            </w:r>
            <w:r>
              <w:rPr>
                <w:rFonts w:ascii="Consolas" w:hAnsi="Consolas" w:eastAsia="Consolas"/>
                <w:sz w:val="19"/>
              </w:rPr>
              <w:t>warn_bleeding</w:t>
            </w:r>
            <w:r>
              <w:rPr>
                <w:rFonts w:ascii="Times New Roman" w:hAnsi="Times New Roman" w:eastAsia="바탕"/>
                <w:sz w:val="20"/>
              </w:rPr>
              <w:t xml:space="preserve"> was likewise becoming a picture that does not say "do not bleed". What the survey caught was contraindications not being marked, and on the other side of the same function there was a path where contraindications were marked inverted.</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was redrawn. The problem was filling three of five cells and leaving two empty. It was meant to draw a number of days, but drawing a state in progress says "not finished yet" rather than "finish it". Using the directional arrow proposed by Sheron Sir Loon Goh, Pharmacy Lecturer, all five cells are now filled with an arrow beneath pointing to the last one.</w:t>
            </w:r>
          </w:p>
          <w:p>
            <w:pPr>
              <w:spacing w:after="80" w:line="276" w:lineRule="auto"/>
              <w:jc w:val="both"/>
            </w:pPr>
            <w:r>
              <w:rPr>
                <w:rFonts w:ascii="Times New Roman" w:hAnsi="Times New Roman" w:eastAsia="바탕"/>
                <w:sz w:val="20"/>
              </w:rPr>
              <w:t xml:space="preserve">This revealed why the semantic check of §5.2 had passed it. The expected value of the check was </w:t>
            </w:r>
            <w:r>
              <w:rPr>
                <w:rFonts w:ascii="Consolas" w:hAnsi="Consolas" w:eastAsia="Consolas"/>
                <w:sz w:val="19"/>
              </w:rPr>
              <w:t>row of boxes</w:t>
            </w:r>
            <w:r>
              <w:rPr>
                <w:rFonts w:ascii="Times New Roman" w:hAnsi="Times New Roman" w:eastAsia="바탕"/>
                <w:sz w:val="20"/>
              </w:rPr>
              <w:t xml:space="preserve">. Because it asked only about appearance, a picture meaning the opposite passes too. The expected value was changed to </w:t>
            </w:r>
            <w:r>
              <w:rPr>
                <w:rFonts w:ascii="Consolas" w:hAnsi="Consolas" w:eastAsia="Consolas"/>
                <w:sz w:val="19"/>
              </w:rPr>
              <w:t>arrow pointing to the end of a row of boxes</w:t>
            </w:r>
            <w:r>
              <w:rPr>
                <w:rFonts w:ascii="Times New Roman" w:hAnsi="Times New Roman" w:eastAsia="바탕"/>
                <w:sz w:val="20"/>
              </w:rPr>
              <w:t>, so that looking merely like a row of boxes now fails. What we recorded as the third limitation of that procedure in §5.4 is confirmed here as an actual case. The semantic check is an instrument for asking what a picture looks like, not for asking whether its meaning stands the right way up.</w:t>
            </w:r>
          </w:p>
          <w:p>
            <w:pPr>
              <w:spacing w:after="80" w:line="276" w:lineRule="auto"/>
              <w:jc w:val="both"/>
            </w:pPr>
            <w:r>
              <w:rPr>
                <w:rFonts w:ascii="Times New Roman" w:hAnsi="Times New Roman" w:eastAsia="바탕"/>
                <w:sz w:val="20"/>
              </w:rPr>
              <w:t>The set was made to use itself as its own list. When Professor Katarina Vučićević wrote that refrigerated storage and midday are confusable, opening the confusion list for the two morphemes showed that neither recorded the other. Each had been asked whether it is confusable with a star; no one had asked whether they are confusable with each other. Writing a longer list does not close this. With 78 morphemes there are 3,003 pairs. So if a picture reads as the meaning of another morpheme, it counts as a collision whether or not we wrote it down in advance.</w:t>
            </w:r>
          </w:p>
          <w:p>
            <w:pPr>
              <w:spacing w:after="80" w:line="276" w:lineRule="auto"/>
              <w:jc w:val="both"/>
            </w:pPr>
            <w:r>
              <w:rPr>
                <w:rFonts w:ascii="Times New Roman" w:hAnsi="Times New Roman" w:eastAsia="바탕"/>
                <w:sz w:val="20"/>
              </w:rPr>
              <w:t>We added a pixel-level check for similar pairs as well. Installed morphemes are reduced to the 32 pixels at which they are actually seen and the distance between them measured, because being distinguishable at 512 pixels is not this app's problem. Recorded honestly, this check does not catch the pair the expert named (refrigeration against midday). It ranks 944th of 3,003. That confusion is a structural overlap of radial forms rather than a pixel one, a different kind, and that side is the semantic check's job.</w:t>
            </w:r>
          </w:p>
          <w:p>
            <w:pPr>
              <w:spacing w:after="80" w:line="276" w:lineRule="auto"/>
              <w:jc w:val="both"/>
            </w:pPr>
            <w:r>
              <w:rPr>
                <w:rFonts w:ascii="Times New Roman" w:hAnsi="Times New Roman" w:eastAsia="바탕"/>
                <w:sz w:val="20"/>
              </w:rPr>
              <w:t>So it was fixed by looking rather than by the metric. A snowflake and a sun are both star shapes radiating from a centre, and if the silhouettes are the same, enlarging them does not separate them. The professor's proposal was colour: black and red for warnings, black and yellow for daytime. Colour is good as a second layer but cannot be the first. To someone who cannot see colour the two pictures are still the same, and that person is the one §3.7 undertook to protect. A composed cell is a single PNG, so there is no way to tint only the morpheme inside it either; adding colour would require the engine to emit colour, and that changes the black-and-white-silhouette rule itself. The silhouette was changed instead. The snowflake was not discarded, because it is a picture people have already learned from the refrigeration mark printed on packaging; it was cut into a box as a hole. What was learned stays and what collides disappears. The outline is now a filled rectangle, so there is nowhere left for it to overlap with the sun.</w:t>
            </w:r>
          </w:p>
          <w:p>
            <w:pPr>
              <w:spacing w:after="80" w:line="276" w:lineRule="auto"/>
              <w:jc w:val="both"/>
            </w:pPr>
            <w:r>
              <w:rPr>
                <w:rFonts w:ascii="Times New Roman" w:hAnsi="Times New Roman" w:eastAsia="바탕"/>
                <w:sz w:val="20"/>
              </w:rPr>
              <w:t xml:space="preserve">Instead the check found something nobody had raised.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time_evening</w:t>
            </w:r>
            <w:r>
              <w:rPr>
                <w:rFonts w:ascii="Times New Roman" w:hAnsi="Times New Roman" w:eastAsia="바탕"/>
                <w:sz w:val="20"/>
              </w:rPr>
              <w:t xml:space="preserve"> rank fifth. It is the confusion of morning and evening doses being swapped, and it is the same place as </w:t>
            </w:r>
            <w:r>
              <w:rPr>
                <w:rFonts w:ascii="Consolas" w:hAnsi="Consolas" w:eastAsia="Consolas"/>
                <w:sz w:val="19"/>
              </w:rPr>
              <w:t>time_evening</w:t>
            </w:r>
            <w:r>
              <w:rPr>
                <w:rFonts w:ascii="Times New Roman" w:hAnsi="Times New Roman" w:eastAsia="바탕"/>
                <w:sz w:val="20"/>
              </w:rPr>
              <w:t>, which §5.3 records as one we could not improve.</w:t>
            </w:r>
          </w:p>
          <w:p>
            <w:pPr>
              <w:spacing w:after="80" w:line="276" w:lineRule="auto"/>
              <w:jc w:val="both"/>
            </w:pPr>
            <w:r>
              <w:rPr>
                <w:rFonts w:ascii="Times New Roman" w:hAnsi="Times New Roman" w:eastAsia="바탕"/>
                <w:sz w:val="20"/>
              </w:rPr>
              <w:t xml:space="preserve">Part of it was resolved by changing the position rather than redrawing the picture. Several respondents asked for the morning, midday and evening pictures to be enlarged; enlarging did not work, and why it did not was the answer. </w:t>
            </w:r>
            <w:r>
              <w:rPr>
                <w:rFonts w:ascii="Consolas" w:hAnsi="Consolas" w:eastAsia="Consolas"/>
                <w:sz w:val="19"/>
              </w:rPr>
              <w:t>\tablet_blister{\time_morning}</w:t>
            </w:r>
            <w:r>
              <w:rPr>
                <w:rFonts w:ascii="Times New Roman" w:hAnsi="Times New Roman" w:eastAsia="바탕"/>
                <w:sz w:val="20"/>
              </w:rPr>
              <w:t xml:space="preserve"> is a grammatically correct line. Rendered at the 88 pixels the app draws, however, the six holes of the blister take up the cell and the sun that carries the meaning is trapped in a 20-pixel window in the middle. Put four side by side and morning, midday, evening and night are not distinguishable from one another. Raising the modifier scale further does not help, because the window is the size of the slot, and a black drawing that leaves the window disappears into the black head.</w:t>
            </w:r>
          </w:p>
          <w:p>
            <w:pPr>
              <w:spacing w:after="80" w:line="276" w:lineRule="auto"/>
              <w:jc w:val="both"/>
            </w:pPr>
            <w:r>
              <w:rPr>
                <w:rFonts w:ascii="Times New Roman" w:hAnsi="Times New Roman" w:eastAsia="바탕"/>
                <w:sz w:val="20"/>
              </w:rPr>
              <w:t>So the dictionary was given a way to record whether a morpheme can stand alone. The principle stays: a modifier cannot stand alone, because a peanut on its own does not say whether it means "contains" or "do not eat". Time of day is the exception to that principle. A sunrise is morning whatever it is attached to, and the preceding cell has already said what the medicine is. Time of day now fills a whole cell the way a head does. A line now reads as one capsule · sunrise · midday · sunset · to the end · with food, and since each cell has come down to one element it also reaches the too-many-elements finding raised in the same survey.</w:t>
            </w:r>
          </w:p>
          <w:p>
            <w:pPr>
              <w:spacing w:after="80" w:line="276" w:lineRule="auto"/>
              <w:jc w:val="both"/>
            </w:pPr>
            <w:r>
              <w:rPr>
                <w:rFonts w:ascii="Times New Roman" w:hAnsi="Times New Roman" w:eastAsia="바탕"/>
                <w:sz w:val="20"/>
              </w:rPr>
              <w:t>We kept the wording for a morpheme standing alone separate. Hearing only "In the morning." leaves the sentence unfinished as to what should happen in the morning, so a time morpheme standing alone is read as "Take it in the morning." What remains is exactly as §5.3 judged. That sunrise and sunset differ only in direction does not change when the cell grows, and that side is carried over to the field evaluation in §5.10.</w:t>
            </w:r>
          </w:p>
          <w:p>
            <w:pPr>
              <w:spacing w:after="80" w:line="276" w:lineRule="auto"/>
              <w:jc w:val="both"/>
            </w:pPr>
            <w:r>
              <w:rPr>
                <w:rFonts w:ascii="Times New Roman" w:hAnsi="Times New Roman" w:eastAsia="바탕"/>
                <w:sz w:val="20"/>
              </w:rPr>
              <w:t xml:space="preserve">There were inversions in the speech as well. </w:t>
            </w:r>
            <w:r>
              <w:rPr>
                <w:rFonts w:ascii="Consolas" w:hAnsi="Consolas" w:eastAsia="Consolas"/>
                <w:sz w:val="19"/>
              </w:rPr>
              <w:t>say.ts</w:t>
            </w:r>
            <w:r>
              <w:rPr>
                <w:rFonts w:ascii="Times New Roman" w:hAnsi="Times New Roman" w:eastAsia="바탕"/>
                <w:sz w:val="20"/>
              </w:rPr>
              <w:t xml:space="preserve"> had no tests at all. A pictogram at least looks odd when it is wrong, but speech cannot be seen, so it flows out wrong and the listener has no way of knowing. Adding 12 tests caught one. Having split the administration verb by dosage form (§2.3), this file was still ending every closing sentence with "Take as prescribed." Sending out "Put 2 drops in the eye" and "Take as prescribed." together for one eye drop collapses, in that last sentence, the reason the verbs were split.</w:t>
            </w:r>
          </w:p>
          <w:p>
            <w:pPr>
              <w:spacing w:after="80" w:line="276" w:lineRule="auto"/>
              <w:jc w:val="both"/>
            </w:pPr>
            <w:r>
              <w:rPr>
                <w:rFonts w:ascii="Times New Roman" w:hAnsi="Times New Roman" w:eastAsia="바탕"/>
                <w:sz w:val="20"/>
              </w:rPr>
              <w:t xml:space="preserve">The same kind appeared in the storage instruction. The positive check was looking only for </w:t>
            </w:r>
            <w:r>
              <w:rPr>
                <w:rFonts w:ascii="Consolas" w:hAnsi="Consolas" w:eastAsia="Consolas"/>
                <w:sz w:val="19"/>
              </w:rPr>
              <w:t>refrigerat</w:t>
            </w:r>
            <w:r>
              <w:rPr>
                <w:rFonts w:ascii="Times New Roman" w:hAnsi="Times New Roman" w:eastAsia="바탕"/>
                <w:sz w:val="20"/>
              </w:rPr>
              <w:t>, so "Do not refrigerate" was read as refrigerated. A medicine to be kept at room temperature reads as refrigerated, and that inversion goes out through both the picture and the speech. This came to light while fixing the clinical error in the sample prescription that Sheron Sir Loon Goh, Pharmacy Lecturer, identified. The corrected wording happened to be "Do not refrigerate".</w:t>
            </w:r>
          </w:p>
          <w:p>
            <w:pPr>
              <w:spacing w:after="80" w:line="276" w:lineRule="auto"/>
              <w:jc w:val="both"/>
            </w:pPr>
            <w:r>
              <w:rPr>
                <w:rFonts w:ascii="Times New Roman" w:hAnsi="Times New Roman" w:eastAsia="바탕"/>
                <w:sz w:val="20"/>
              </w:rPr>
              <w:t xml:space="preserve">Two morphemes were redrawn. </w:t>
            </w:r>
            <w:r>
              <w:rPr>
                <w:rFonts w:ascii="Consolas" w:hAnsi="Consolas" w:eastAsia="Consolas"/>
                <w:sz w:val="19"/>
              </w:rPr>
              <w:t>allergen_egg</w:t>
            </w:r>
            <w:r>
              <w:rPr>
                <w:rFonts w:ascii="Times New Roman" w:hAnsi="Times New Roman" w:eastAsia="바탕"/>
                <w:sz w:val="20"/>
              </w:rPr>
              <w:t xml:space="preserve"> followed the point made by Professor Namsoo Park of Hyupsung University. A fried egg seen from above loses its white in the silhouette because the white is white, leaving a single yolk circle that reads like a target or a button. In a set drawn as filled silhouettes, a picture whose meaning is carried by the white part never stood up in the first place, so it was changed to a cracked egg. That </w:t>
            </w:r>
            <w:r>
              <w:rPr>
                <w:rFonts w:ascii="Consolas" w:hAnsi="Consolas" w:eastAsia="Consolas"/>
                <w:sz w:val="19"/>
              </w:rPr>
              <w:t>allergen_tree_nut</w:t>
            </w:r>
            <w:r>
              <w:rPr>
                <w:rFonts w:ascii="Times New Roman" w:hAnsi="Times New Roman" w:eastAsia="바탕"/>
                <w:sz w:val="20"/>
              </w:rPr>
              <w:t xml:space="preserve"> was read as "cracked egg" in §5.2 is the evidence that this form reads as an egg. </w:t>
            </w:r>
            <w:r>
              <w:rPr>
                <w:rFonts w:ascii="Consolas" w:hAnsi="Consolas" w:eastAsia="Consolas"/>
                <w:sz w:val="19"/>
              </w:rPr>
              <w:t>hand_wash</w:t>
            </w:r>
            <w:r>
              <w:rPr>
                <w:rFonts w:ascii="Times New Roman" w:hAnsi="Times New Roman" w:eastAsia="바탕"/>
                <w:sz w:val="20"/>
              </w:rPr>
              <w:t xml:space="preserve"> followed the instruction given by Yonghan Lee, Senior Manager at the Korea Craft and Design Foundation, exactly: a hand under a running tap.</w:t>
            </w:r>
          </w:p>
          <w:p>
            <w:pPr>
              <w:spacing w:after="80" w:line="276" w:lineRule="auto"/>
              <w:jc w:val="both"/>
            </w:pPr>
            <w:r>
              <w:rPr>
                <w:rFonts w:ascii="Times New Roman" w:hAnsi="Times New Roman" w:eastAsia="바탕"/>
                <w:sz w:val="20"/>
              </w:rPr>
              <w:t>We went through the accessibility criteria. Checking WCAG 2.2 item by item, as E. A. Draffan, retired speech and language therapist and visiting accessibility researcher, had asked, found all five verdict colours below the contrast criterion and the target size of secondary controls between 16 and 20 pixels. The colours looked perfectly fine on screen, and that is in fact how they survived this long. They are values the eye cannot hold, so they were locked with a test, and the numbers and the judgement are carried as Table 20 in §3.7. What should be recorded here is that we would not have done this without the survey. In §3.7 we had five channels standing in for colour and had not measured whether the colour itself could be read.</w:t>
            </w:r>
          </w:p>
          <w:p>
            <w:pPr>
              <w:spacing w:after="80" w:line="276" w:lineRule="auto"/>
              <w:jc w:val="both"/>
            </w:pPr>
            <w:r>
              <w:rPr>
                <w:rFonts w:ascii="Times New Roman" w:hAnsi="Times New Roman" w:eastAsia="바탕"/>
                <w:sz w:val="20"/>
              </w:rPr>
              <w:t xml:space="preserve">The speech was given the languages of six countries. Professor Kyogu Lee of Seoul National University proposed multilingual expansion, and the target user does not speak English in the first place. Only the spoken side was translated. The screen text stays in English, because the channels that reach the target user are the pictures and the sound, and the screen text is for the carer and the reviewer standing beside them. The languages were chosen from where the respondents work: Urdu (Pakistan), Hausa (Nigeria), Indonesian, Bengali (Bangladesh), Romanian (Moldova) and Korean, 72 morpheme sentences × 6 = 432 entries. Swapping words alone does not make a sentence, so each bundle carries its own word order, and doing that revealed that the storage instruction is a separate act rather than a modifier, so the sentence was split; the English improved with it. </w:t>
            </w:r>
            <w:r>
              <w:rPr>
                <w:rFonts w:ascii="Times New Roman" w:hAnsi="Times New Roman" w:eastAsia="바탕"/>
                <w:b/>
                <w:sz w:val="20"/>
              </w:rPr>
              <w:t>No native-speaker clinical review has been done</w:t>
            </w:r>
            <w:r>
              <w:rPr>
                <w:rFonts w:ascii="Times New Roman" w:hAnsi="Times New Roman" w:eastAsia="바탕"/>
                <w:sz w:val="20"/>
              </w:rPr>
              <w:t>, and that fact is recorded in both the code and on screen. The wording that goes out on screen, carried over as written:</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(Settings screen, below the language picker)</w:t>
            </w:r>
          </w:p>
          <w:p>
            <w:pPr>
              <w:spacing w:after="80" w:line="276" w:lineRule="auto"/>
              <w:jc w:val="both"/>
            </w:pPr>
            <w:r>
              <w:rPr>
                <w:rFonts w:ascii="Times New Roman" w:hAnsi="Times New Roman" w:eastAsia="바탕"/>
                <w:sz w:val="20"/>
              </w:rPr>
              <w:t>Including English is the point. It is not only the translations that are unreviewed; the source sentences are unreviewed too, and that is not hidden behind a note about translation. A mistranslated dosing instruction causes exactly the harm this app exists to prevent. Seven languages appear in Settings; English is the source, so six were translated.</w:t>
            </w:r>
          </w:p>
          <w:p>
            <w:pPr>
              <w:spacing w:before="160" w:after="60"/>
              <w:jc w:val="center"/>
            </w:pPr>
            <w:r>
              <w:drawing>
                <wp:inline xmlns:a="http://schemas.openxmlformats.org/drawingml/2006/main" xmlns:pic="http://schemas.openxmlformats.org/drawingml/2006/picture">
                  <wp:extent cx="1320800" cy="4754880"/>
                  <wp:docPr id="45" name="Picture 45"/>
                  <wp:cNvGraphicFramePr>
                    <a:graphicFrameLocks noChangeAspect="1"/>
                  </wp:cNvGraphicFramePr>
                  <a:graphic>
                    <a:graphicData uri="http://schemas.openxmlformats.org/drawingml/2006/picture">
                      <pic:pic>
                        <pic:nvPicPr>
                          <pic:cNvPr id="0" name="fig14_language.png"/>
                          <pic:cNvPicPr/>
                        </pic:nvPicPr>
                        <pic:blipFill>
                          <a:blip r:embed="rId62"/>
                          <a:stretch>
                            <a:fillRect/>
                          </a:stretch>
                        </pic:blipFill>
                        <pic:spPr>
                          <a:xfrm>
                            <a:off x="0" y="0"/>
                            <a:ext cx="13208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45]</w:t>
            </w:r>
            <w:r>
              <w:rPr>
                <w:rFonts w:ascii="Times New Roman" w:hAnsi="Times New Roman" w:eastAsia="바탕"/>
                <w:color w:val="606068"/>
                <w:sz w:val="18"/>
              </w:rPr>
              <w:t>) as it stands. The note underneath is the point of this screen: the display stays in English and only the voice changes, and the translations have not been checked by a clinician who speaks the language, English included. That is to say it is not only the translations that are unreviewed; the source sentences are not either.</w:t>
            </w:r>
            <w:r>
              <w:rPr>
                <w:rFonts w:ascii="Times New Roman" w:hAnsi="Times New Roman" w:eastAsia="바탕"/>
                <w:color w:val="606068"/>
                <w:sz w:val="18"/>
              </w:rPr>
              <w:t xml:space="preserve"> The language picker in Settings, captured from the deployment (</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Urdu and Hausa can be seen dimmed and carrying "no voice on this phone" with a mute mark. These are the marks §5.7 describes, and this figure confirms that description.</w:t>
            </w:r>
          </w:p>
          <w:p>
            <w:pPr>
              <w:spacing w:after="80" w:line="276" w:lineRule="auto"/>
              <w:jc w:val="both"/>
            </w:pPr>
            <w:r>
              <w:rPr>
                <w:rFonts w:ascii="Times New Roman" w:hAnsi="Times New Roman" w:eastAsia="바탕"/>
                <w:sz w:val="20"/>
              </w:rPr>
              <w:t xml:space="preserve">Getting this figure took one failure. The earlier capture did not carry those marks, and we had a paragraph in the body excusing it: the browser was headless, its voice list empty, so the marks did not appear. The cause was not the browser but our capture procedure. The voice list is filled asynchronously by </w:t>
            </w:r>
            <w:r>
              <w:rPr>
                <w:rFonts w:ascii="Consolas" w:hAnsi="Consolas" w:eastAsia="Consolas"/>
                <w:sz w:val="19"/>
              </w:rPr>
              <w:t>speechSynthesis</w:t>
            </w:r>
            <w:r>
              <w:rPr>
                <w:rFonts w:ascii="Times New Roman" w:hAnsi="Times New Roman" w:eastAsia="바탕"/>
                <w:sz w:val="20"/>
              </w:rPr>
              <w:t>, and we waited only for the heading of the list before taking the shot, so the shot was taken before the marks were attached. It now waits for the marks themselves to appear on screen.</w:t>
            </w:r>
          </w:p>
          <w:p>
            <w:pPr>
              <w:spacing w:after="80" w:line="276" w:lineRule="auto"/>
              <w:jc w:val="both"/>
            </w:pPr>
            <w:r>
              <w:rPr>
                <w:rFonts w:ascii="Times New Roman" w:hAnsi="Times New Roman" w:eastAsia="바탕"/>
                <w:sz w:val="20"/>
              </w:rPr>
              <w:t>One more thing should be read from it. The disclosure sits below the red line, which is to say it is reached only by scrolling. Putting a disclosure on the screen and the user seeing it are different things, and this screen currently satisfies only the first. Someone choosing a language stops when they find their own in the list and has no reason to go further down. Whether the disclosure should move above the list is left as an item to settle with people present, in the field evaluation of §5.10.</w:t>
            </w:r>
          </w:p>
          <w:p>
            <w:pPr>
              <w:spacing w:after="80" w:line="276" w:lineRule="auto"/>
              <w:jc w:val="both"/>
            </w:pPr>
            <w:r>
              <w:rPr>
                <w:rFonts w:ascii="Times New Roman" w:hAnsi="Times New Roman" w:eastAsia="바탕"/>
                <w:sz w:val="20"/>
              </w:rPr>
              <w:t>The dispenser now calls the phone when it presents a dose. The same respondent proposed dosing-time notifications. The release button is visible only while the app is open, so without a place that calls, this feature works only for whoever happens to have the app open. It does not call while you are watching, it does not disappear until touched, and permission is asked right after pairing the box: to someone who has just claimed the box, "shall we tell you when a dose is ready" is a continuation, whereas a dialogue at first launch gets refused before its purpose is known.</w:t>
            </w:r>
          </w:p>
          <w:p>
            <w:pPr>
              <w:spacing w:after="80" w:line="276" w:lineRule="auto"/>
              <w:jc w:val="both"/>
            </w:pPr>
            <w:r>
              <w:rPr>
                <w:rFonts w:ascii="Times New Roman" w:hAnsi="Times New Roman" w:eastAsia="바탕"/>
                <w:sz w:val="20"/>
              </w:rPr>
              <w:t>A checking step was built. It responds to the absence of teach-back raised by Foued Maaoui, researcher at the Pasteur Institute of Tunis, and its design and rationale are in §3.8. What should be recorded here is that this step is a screen that did not exist at all before the survey. If the earlier fixes corrected things that were already there, this is something the survey created.</w:t>
            </w:r>
          </w:p>
          <w:p>
            <w:pPr>
              <w:spacing w:after="80" w:line="276" w:lineRule="auto"/>
              <w:jc w:val="both"/>
            </w:pPr>
            <w:r>
              <w:rPr>
                <w:rFonts w:ascii="Times New Roman" w:hAnsi="Times New Roman" w:eastAsia="바탕"/>
                <w:sz w:val="20"/>
              </w:rPr>
              <w:t>The web app test count went from 231 to 360 (Table 29).</w:t>
            </w:r>
          </w:p>
          <w:p>
            <w:pPr>
              <w:spacing w:before="120" w:after="20"/>
            </w:pPr>
            <w:r>
              <w:rPr>
                <w:rFonts w:ascii="Times New Roman" w:hAnsi="Times New Roman" w:eastAsia="바탕"/>
                <w:b/>
                <w:sz w:val="21"/>
              </w:rPr>
              <w:t>5.7.14 Limits of this survey</w:t>
            </w:r>
          </w:p>
          <w:p>
            <w:pPr>
              <w:spacing w:after="80" w:line="276" w:lineRule="auto"/>
              <w:jc w:val="both"/>
            </w:pPr>
            <w:r>
              <w:rPr>
                <w:rFonts w:ascii="Times New Roman" w:hAnsi="Times New Roman" w:eastAsia="바탕"/>
                <w:sz w:val="20"/>
              </w:rPr>
              <w:t>The sample is self-selected. Thirty-nine of 1,103 answered, and those who answered are people with an interest in the subject. The judgement of the 1,068 who did not answer is unknown.</w:t>
            </w:r>
          </w:p>
          <w:p>
            <w:pPr>
              <w:spacing w:after="80" w:line="276" w:lineRule="auto"/>
              <w:jc w:val="both"/>
            </w:pPr>
            <w:r>
              <w:rPr>
                <w:rFonts w:ascii="Times New Roman" w:hAnsi="Times New Roman" w:eastAsia="바탕"/>
                <w:sz w:val="20"/>
              </w:rPr>
              <w:t>The denominators are small. The largest segment, pharmacy, is 12 people. Written as a percentage, one person moves 8 points, so this section records numerator and denominator together.</w:t>
            </w:r>
          </w:p>
          <w:p>
            <w:pPr>
              <w:spacing w:after="80" w:line="276" w:lineRule="auto"/>
              <w:jc w:val="both"/>
            </w:pPr>
            <w:r>
              <w:rPr>
                <w:rFonts w:ascii="Times New Roman" w:hAnsi="Times New Roman" w:eastAsia="바탕"/>
                <w:b/>
                <w:sz w:val="20"/>
              </w:rPr>
              <w:t>There was no response from the 41 chosen by hand.</w:t>
            </w:r>
            <w:r>
              <w:rPr>
                <w:rFonts w:ascii="Times New Roman" w:hAnsi="Times New Roman" w:eastAsia="바탕"/>
                <w:sz w:val="20"/>
              </w:rPr>
              <w:t xml:space="preserve"> The 41 with the clearest selection basis were put at the front of the sending order and all received it within seven minutes, and the response count is zero. This result cannot be used as "the judgement of the 41 we considered most important."</w:t>
            </w:r>
          </w:p>
          <w:p>
            <w:pPr>
              <w:spacing w:after="80" w:line="276" w:lineRule="auto"/>
              <w:jc w:val="both"/>
            </w:pPr>
            <w:r>
              <w:rPr>
                <w:rFonts w:ascii="Times New Roman" w:hAnsi="Times New Roman" w:eastAsia="바탕"/>
                <w:sz w:val="20"/>
              </w:rPr>
              <w:t>Three respondents told us the survey instrument itself was flawed. Professor Atif Usman of The Islamia University of Bahawalpur asked that multiple responses be allowed in every segment, and Associate Professor Hangil Lee of Ewha Womans University wrote that only one option could be selected so he chose contraindications, though side effects and dose adjustment belong in the same place. Professor Namsoo Park of Hyupsung University said the same thing: asked where an older patient living alone fails first, he answered that operating the screen, managing the device and trust arrive together.</w:t>
            </w:r>
          </w:p>
          <w:p>
            <w:pPr>
              <w:spacing w:after="80" w:line="276" w:lineRule="auto"/>
              <w:jc w:val="both"/>
            </w:pPr>
            <w:r>
              <w:rPr>
                <w:rFonts w:ascii="Times New Roman" w:hAnsi="Times New Roman" w:eastAsia="바탕"/>
                <w:sz w:val="20"/>
              </w:rPr>
              <w:t>The distributions for single-choice questions in this section therefore do not hold everything the respondents wanted to choose. That has to be read alongside the figures in Table 46, and it is why this section presents the free text next to the multiple choice.</w:t>
            </w:r>
          </w:p>
          <w:p>
            <w:pPr>
              <w:spacing w:after="80" w:line="276" w:lineRule="auto"/>
              <w:jc w:val="both"/>
            </w:pPr>
            <w:r>
              <w:rPr>
                <w:rFonts w:ascii="Times New Roman" w:hAnsi="Times New Roman" w:eastAsia="바탕"/>
                <w:sz w:val="20"/>
              </w:rPr>
              <w:t>A heavier flaw surfaced as the fourth wave of responses came in. What the demonstration attached to the survey shows is a prescription photograph and the pictograms and speech produced from it; the app's own screens are not in it. Youngchan Kim of Kyung Hee Cyber University gave the same answer to three questions:</w:t>
            </w:r>
          </w:p>
          <w:p>
            <w:pPr>
              <w:spacing w:after="40" w:line="276" w:lineRule="auto"/>
              <w:ind w:left="403"/>
            </w:pPr>
            <w:r>
              <w:rPr>
                <w:rFonts w:ascii="Times New Roman" w:hAnsi="Times New Roman" w:eastAsia="바탕"/>
                <w:i/>
                <w:color w:val="606068"/>
                <w:sz w:val="19"/>
              </w:rPr>
              <w:t>"I have neither seen nor used the system. (There is no system in the email.)"</w:t>
            </w:r>
          </w:p>
          <w:p>
            <w:pPr>
              <w:spacing w:after="180" w:line="276" w:lineRule="auto"/>
              <w:ind w:left="403"/>
            </w:pPr>
            <w:r>
              <w:rPr>
                <w:rFonts w:ascii="Times New Roman" w:hAnsi="Times New Roman" w:eastAsia="바탕"/>
                <w:i w:val="0"/>
                <w:color w:val="606068"/>
                <w:sz w:val="19"/>
              </w:rPr>
              <w:t>(Youngchan Kim, Kyung Hee Cyber University)</w:t>
            </w:r>
          </w:p>
          <w:p>
            <w:pPr>
              <w:spacing w:after="80" w:line="276" w:lineRule="auto"/>
              <w:jc w:val="both"/>
            </w:pPr>
            <w:r>
              <w:rPr>
                <w:rFonts w:ascii="Times New Roman" w:hAnsi="Times New Roman" w:eastAsia="바탕"/>
                <w:sz w:val="20"/>
              </w:rPr>
              <w:t>Seunghoon Jung of the Korea Institute of Design Promotion stopped at the same place.</w:t>
            </w:r>
          </w:p>
          <w:p>
            <w:pPr>
              <w:spacing w:after="40" w:line="276" w:lineRule="auto"/>
              <w:ind w:left="403"/>
            </w:pPr>
            <w:r>
              <w:rPr>
                <w:rFonts w:ascii="Times New Roman" w:hAnsi="Times New Roman" w:eastAsia="바탕"/>
                <w:i/>
                <w:color w:val="606068"/>
                <w:sz w:val="19"/>
              </w:rPr>
              <w:t>"There is no material at all to judge from — no working screens of SnapCare, for instance — so I cannot judge."</w:t>
            </w:r>
          </w:p>
          <w:p>
            <w:pPr>
              <w:spacing w:after="180" w:line="276" w:lineRule="auto"/>
              <w:ind w:left="403"/>
            </w:pPr>
            <w:r>
              <w:rPr>
                <w:rFonts w:ascii="Times New Roman" w:hAnsi="Times New Roman" w:eastAsia="바탕"/>
                <w:i w:val="0"/>
                <w:color w:val="606068"/>
                <w:sz w:val="19"/>
              </w:rPr>
              <w:t>(Seunghoon Jung, Korea Institute of Design Promotion)</w:t>
            </w:r>
          </w:p>
          <w:p>
            <w:pPr>
              <w:spacing w:after="80" w:line="276" w:lineRule="auto"/>
              <w:jc w:val="both"/>
            </w:pPr>
            <w:r>
              <w:rPr>
                <w:rFonts w:ascii="Times New Roman" w:hAnsi="Times New Roman" w:eastAsia="바탕"/>
                <w:sz w:val="20"/>
              </w:rPr>
              <w:t>Both are in the HCI and design segment. We asked people whose work is judging screens to judge without showing them a screen, and this is a flaw not in the questions but in what we chose to show. We put in only the pictograms, judging them the core of this work, and that decision made one segment's answers unusable. It differs in kind from the judgement question going to only five segments: that was a filter on qualification, this was withholding the material from people who were qualified.</w:t>
            </w:r>
          </w:p>
          <w:p>
            <w:pPr>
              <w:spacing w:after="80" w:line="276" w:lineRule="auto"/>
              <w:jc w:val="both"/>
            </w:pPr>
            <w:r>
              <w:rPr>
                <w:rFonts w:ascii="Times New Roman" w:hAnsi="Times New Roman" w:eastAsia="바탕"/>
                <w:sz w:val="20"/>
              </w:rPr>
              <w:t>E. A. Draffan, retired speech and language therapist and visiting accessibility researcher at Global Symbols, told us of another flaw: they only realised at the end that there was a button back to the screen showing the 78 morphemes. How many responses were given without being able to look at the morphemes again, we do not know. The same respondent suggested putting a link back to the morphemes inside the questions.</w:t>
            </w:r>
          </w:p>
          <w:p>
            <w:pPr>
              <w:spacing w:after="80" w:line="276" w:lineRule="auto"/>
              <w:jc w:val="both"/>
            </w:pPr>
            <w:r>
              <w:rPr>
                <w:rFonts w:ascii="Times New Roman" w:hAnsi="Times New Roman" w:eastAsia="바탕"/>
                <w:sz w:val="20"/>
              </w:rPr>
              <w:t>There are groups the link does not reach. The Korea Institute for Health and Social Affairs replied that as a public institution it cannot open an unverified URL and asked us to send the questions by email. The list contains 91 international organisations alone, and running a survey through a single link structurally fails to reach this group. A version with the same questions written in the body of the email should have been prepared alongside.</w:t>
            </w:r>
          </w:p>
          <w:p>
            <w:pPr>
              <w:spacing w:after="80" w:line="276" w:lineRule="auto"/>
              <w:jc w:val="both"/>
            </w:pPr>
            <w:r>
              <w:rPr>
                <w:rFonts w:ascii="Times New Roman" w:hAnsi="Times New Roman" w:eastAsia="바탕"/>
                <w:sz w:val="20"/>
              </w:rPr>
              <w:t>The screen respondents saw is not the screen our users will see. Of the 39, 30 answered on a desktop, 3 on mobile and 2 on a tablet, and for 4 no record remains. This app is built on the premise of use on a handheld device (§1.6), so a judgement formed on a large screen may come out more generous than the real condition. That the point about icons being small and needing magnification came from a desktop respondent rather than a mobile one should be read alongside this.</w:t>
            </w:r>
          </w:p>
          <w:p>
            <w:pPr>
              <w:spacing w:after="80" w:line="276" w:lineRule="auto"/>
              <w:jc w:val="both"/>
            </w:pPr>
            <w:r>
              <w:rPr>
                <w:rFonts w:ascii="Times New Roman" w:hAnsi="Times New Roman" w:eastAsia="바탕"/>
                <w:sz w:val="20"/>
              </w:rPr>
              <w:t xml:space="preserve">We do not know how many people heard the audio. Whether the speaker in the demonstration was pressed was being recorded, but the instrumentation failed to account for the speaker rendering as </w:t>
            </w:r>
            <w:r>
              <w:rPr>
                <w:rFonts w:ascii="Consolas" w:hAnsi="Consolas" w:eastAsia="Consolas"/>
                <w:sz w:val="19"/>
              </w:rPr>
              <w:t>&lt;span role="button"&gt;</w:t>
            </w:r>
            <w:r>
              <w:rPr>
                <w:rFonts w:ascii="Times New Roman" w:hAnsi="Times New Roman" w:eastAsia="바탕"/>
                <w:sz w:val="20"/>
              </w:rPr>
              <w:t xml:space="preserve"> rather than </w:t>
            </w:r>
            <w:r>
              <w:rPr>
                <w:rFonts w:ascii="Consolas" w:hAnsi="Consolas" w:eastAsia="Consolas"/>
                <w:sz w:val="19"/>
              </w:rPr>
              <w:t>&lt;button&gt;</w:t>
            </w:r>
            <w:r>
              <w:rPr>
                <w:rFonts w:ascii="Times New Roman" w:hAnsi="Times New Roman" w:eastAsia="바탕"/>
                <w:sz w:val="20"/>
              </w:rPr>
              <w:t>, so the first 34 were all recorded as not pressed. It was fixed during the survey, so only later responses are valid. In other words, of the responses to the judgement question in this section, how many were answered after hearing the audio cannot be known.</w:t>
            </w:r>
          </w:p>
          <w:p>
            <w:pPr>
              <w:spacing w:before="180" w:after="40"/>
            </w:pPr>
            <w:r>
              <w:rPr>
                <w:rFonts w:ascii="Times New Roman" w:hAnsi="Times New Roman" w:eastAsia="바탕"/>
                <w:b/>
                <w:sz w:val="23"/>
              </w:rPr>
              <w:t>5.8 Contribution to SDG 3</w:t>
            </w:r>
          </w:p>
          <w:p>
            <w:pPr>
              <w:spacing w:after="80" w:line="276" w:lineRule="auto"/>
              <w:jc w:val="both"/>
            </w:pPr>
            <w:r>
              <w:rPr>
                <w:rFonts w:ascii="Times New Roman" w:hAnsi="Times New Roman" w:eastAsia="바탕"/>
                <w:sz w:val="20"/>
              </w:rPr>
              <w:t>The point at which SnapCare intervenes is the last step described in §1.4. The health system takes care of consultation and dispensing, but from the moment the patient opens the medicine packet at home it is left to their own ability to read.</w:t>
            </w:r>
          </w:p>
          <w:p>
            <w:pPr>
              <w:spacing w:after="80" w:line="276" w:lineRule="auto"/>
              <w:jc w:val="both"/>
            </w:pPr>
            <w:r>
              <w:rPr>
                <w:rFonts w:ascii="Times New Roman" w:hAnsi="Times New Roman" w:eastAsia="바탕"/>
                <w:sz w:val="20"/>
              </w:rPr>
              <w:t>[Table 47] Correspondence with SDG 3 targets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Target</w:t>
                  </w:r>
                </w:p>
              </w:tc>
              <w:tc>
                <w:tcPr>
                  <w:tcW w:type="dxa" w:w="4857"/>
                  <w:shd w:val="clear" w:fill="F2F2F2"/>
                </w:tcPr>
                <w:p>
                  <w:r>
                    <w:rPr>
                      <w:rFonts w:ascii="Times New Roman" w:hAnsi="Times New Roman" w:eastAsia="바탕"/>
                      <w:b/>
                      <w:sz w:val="18"/>
                    </w:rPr>
                    <w:t>SnapCare's contribution</w:t>
                  </w:r>
                </w:p>
              </w:tc>
            </w:tr>
            <w:tr>
              <w:tc>
                <w:tcPr>
                  <w:tcW w:type="dxa" w:w="4857"/>
                </w:tcPr>
                <w:p>
                  <w:r>
                    <w:rPr>
                      <w:rFonts w:ascii="Times New Roman" w:hAnsi="Times New Roman" w:eastAsia="바탕"/>
                      <w:b/>
                      <w:sz w:val="18"/>
                    </w:rPr>
                    <w:t>3.4</w:t>
                  </w:r>
                  <w:r>
                    <w:rPr>
                      <w:rFonts w:ascii="Times New Roman" w:hAnsi="Times New Roman" w:eastAsia="바탕"/>
                      <w:sz w:val="18"/>
                    </w:rPr>
                    <w:t xml:space="preserve"> Prevention and treatment of noncommunicable diseases</w:t>
                  </w:r>
                </w:p>
              </w:tc>
              <w:tc>
                <w:tcPr>
                  <w:tcW w:type="dxa" w:w="4857"/>
                </w:tcPr>
                <w:p>
                  <w:r>
                    <w:rPr>
                      <w:rFonts w:ascii="Times New Roman" w:hAnsi="Times New Roman" w:eastAsia="바탕"/>
                      <w:sz w:val="18"/>
                    </w:rPr>
                    <w:t>WHO nutrition recommendations are derived from the individual's energy requirement to produce a verdict. Diabetes and hypertension conditions narrow the thresholds</w:t>
                  </w:r>
                </w:p>
              </w:tc>
            </w:tr>
            <w:tr>
              <w:tc>
                <w:tcPr>
                  <w:tcW w:type="dxa" w:w="4857"/>
                </w:tcPr>
                <w:p>
                  <w:r>
                    <w:rPr>
                      <w:rFonts w:ascii="Times New Roman" w:hAnsi="Times New Roman" w:eastAsia="바탕"/>
                      <w:b/>
                      <w:sz w:val="18"/>
                    </w:rPr>
                    <w:t>3.8</w:t>
                  </w:r>
                  <w:r>
                    <w:rPr>
                      <w:rFonts w:ascii="Times New Roman" w:hAnsi="Times New Roman" w:eastAsia="바탕"/>
                      <w:sz w:val="18"/>
                    </w:rPr>
                    <w:t xml:space="preserve"> Universal health coverage</w:t>
                  </w:r>
                </w:p>
              </w:tc>
              <w:tc>
                <w:tcPr>
                  <w:tcW w:type="dxa" w:w="4857"/>
                </w:tcPr>
                <w:p>
                  <w:r>
                    <w:rPr>
                      <w:rFonts w:ascii="Times New Roman" w:hAnsi="Times New Roman" w:eastAsia="바탕"/>
                      <w:sz w:val="18"/>
                    </w:rPr>
                    <w:t>Reduces the literacy-driven gap at the self-management stage after care</w:t>
                  </w:r>
                </w:p>
              </w:tc>
            </w:tr>
            <w:tr>
              <w:tc>
                <w:tcPr>
                  <w:tcW w:type="dxa" w:w="4857"/>
                </w:tcPr>
                <w:p>
                  <w:r>
                    <w:rPr>
                      <w:rFonts w:ascii="Times New Roman" w:hAnsi="Times New Roman" w:eastAsia="바탕"/>
                      <w:b/>
                      <w:sz w:val="18"/>
                    </w:rPr>
                    <w:t>3.d</w:t>
                  </w:r>
                  <w:r>
                    <w:rPr>
                      <w:rFonts w:ascii="Times New Roman" w:hAnsi="Times New Roman" w:eastAsia="바탕"/>
                      <w:sz w:val="18"/>
                    </w:rPr>
                    <w:t xml:space="preserve"> Health risk management</w:t>
                  </w:r>
                </w:p>
              </w:tc>
              <w:tc>
                <w:tcPr>
                  <w:tcW w:type="dxa" w:w="4857"/>
                </w:tcPr>
                <w:p>
                  <w:r>
                    <w:rPr>
                      <w:rFonts w:ascii="Times New Roman" w:hAnsi="Times New Roman" w:eastAsia="바탕"/>
                      <w:sz w:val="18"/>
                    </w:rPr>
                    <w:t>Conveys completion of an antibiotic course in pictures, intervening in the human factor behind resistance</w:t>
                  </w:r>
                </w:p>
              </w:tc>
            </w:tr>
          </w:tbl>
          <w:p/>
          <w:p>
            <w:pPr>
              <w:spacing w:after="120"/>
            </w:pPr>
          </w:p>
          <w:p>
            <w:pPr>
              <w:spacing w:after="80" w:line="276" w:lineRule="auto"/>
              <w:jc w:val="both"/>
            </w:pPr>
            <w:r>
              <w:rPr>
                <w:rFonts w:ascii="Times New Roman" w:hAnsi="Times New Roman" w:eastAsia="바탕"/>
                <w:sz w:val="20"/>
              </w:rPr>
              <w:t>The link to 3.4 runs through the undiagnosed population described in §1.5. Of 589 million adults with diabetes worldwide, 43% do not know they have it, and they select "no" on the screen that asks about conditions. SnapCare asking about conditions along three branches (§2.5) is the response to this. Someone who does not know the diagnostic name can still answer what they have experienced, and the thresholds are narrowed from that answer. Given that the management of noncommunicable diseases happens over daily meals rather than in the consulting room, not requiring a diagnostic name is itself a way of widening who can be reached.</w:t>
            </w:r>
          </w:p>
          <w:p>
            <w:pPr>
              <w:spacing w:after="80" w:line="276" w:lineRule="auto"/>
              <w:jc w:val="both"/>
            </w:pPr>
            <w:r>
              <w:rPr>
                <w:rFonts w:ascii="Times New Roman" w:hAnsi="Times New Roman" w:eastAsia="바탕"/>
                <w:sz w:val="20"/>
              </w:rPr>
              <w:t>The link to 3.8 comes from the workforce gap. As cited in §1.4, physician density varies more than thirteenfold by region, and when consultation time shortens the first thing cut is the explanation of how to take the medicine. Universal health coverage is generally measured by whether care and medicines are within reach, but if the instructions cannot be read once the medicine is in hand, coverage stops there. The 50% adherence figure cited in §1.4 is the size of that stopping point. Half disappears after the medicine has been prescribed, dispensed and handed over, so however much is invested in the earlier stages, leaving this one untouched lets that much leak away. What SnapCare sets out to reduce is this gap remaining after care, and it is a gap that divides along literacy.</w:t>
            </w:r>
          </w:p>
          <w:p>
            <w:pPr>
              <w:spacing w:after="80" w:line="276" w:lineRule="auto"/>
              <w:jc w:val="both"/>
            </w:pPr>
            <w:r>
              <w:rPr>
                <w:rFonts w:ascii="Times New Roman" w:hAnsi="Times New Roman" w:eastAsia="바탕"/>
                <w:sz w:val="20"/>
              </w:rPr>
              <w:t xml:space="preserve">The link to 3.d is the most direct. An analysis of more than 23 million laboratory-confirmed infections reported from 104 countries found that in 2023 one in six bacterial infections showed resistance to antibiotics. Between 2018 and 2023 resistance rose in more than 40% of the monitored pathogen and antibiotic combinations, at an annual rate of 5% to 15%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In 2019, deaths directly attributable to bacterial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Stopping an antibiotic once symptoms subside is the principal human route to resistance. And it is not the behaviour of a minority. A survey of 9,772 people across 12 countries found </w:t>
            </w:r>
            <w:r>
              <w:rPr>
                <w:rFonts w:ascii="Times New Roman" w:hAnsi="Times New Roman" w:eastAsia="바탕"/>
                <w:b/>
                <w:sz w:val="20"/>
              </w:rPr>
              <w:t>32% believed it was acceptable to stop antibiotics once they felt better</w:t>
            </w:r>
            <w:r>
              <w:rPr>
                <w:rFonts w:ascii="Times New Roman" w:hAnsi="Times New Roman" w:eastAsia="바탕"/>
                <w:sz w:val="20"/>
              </w:rPr>
              <w:t xml:space="preserve">, and 64% believed antibiotics work on colds and flu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Broken down by region, this problem too is concentrated where we are aimed. In South-East Asia and the Eastern Mediterranean one in three reported infections showed resistance, in Africa one in five and in the Americas one in seven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The regions with the lowest literacy in §1.1 appear here again.</w:t>
            </w:r>
          </w:p>
          <w:p>
            <w:pPr>
              <w:spacing w:before="160" w:after="60"/>
              <w:jc w:val="center"/>
            </w:pPr>
            <w:r>
              <w:drawing>
                <wp:inline xmlns:a="http://schemas.openxmlformats.org/drawingml/2006/main" xmlns:pic="http://schemas.openxmlformats.org/drawingml/2006/picture">
                  <wp:extent cx="5486400" cy="2377440"/>
                  <wp:docPr id="46" name="Picture 46"/>
                  <wp:cNvGraphicFramePr>
                    <a:graphicFrameLocks noChangeAspect="1"/>
                  </wp:cNvGraphicFramePr>
                  <a:graphic>
                    <a:graphicData uri="http://schemas.openxmlformats.org/drawingml/2006/picture">
                      <pic:pic>
                        <pic:nvPicPr>
                          <pic:cNvPr id="0" name="chart14_amr_region.png"/>
                          <pic:cNvPicPr/>
                        </pic:nvPicPr>
                        <pic:blipFill>
                          <a:blip r:embed="rId6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46]</w:t>
            </w:r>
            <w:r>
              <w:rPr>
                <w:rFonts w:ascii="Times New Roman" w:hAnsi="Times New Roman" w:eastAsia="바탕"/>
                <w:color w:val="606068"/>
                <w:sz w:val="18"/>
              </w:rPr>
              <w:t xml:space="preserve"> Share of reported bacterial infections showing antibiotic resistance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The world average is one in six; in South-East Asia and the Eastern Mediterranean it is one in three. The low-literacy countries of Table 1 are in those two regions. That is the place the </w:t>
            </w:r>
            <w:r>
              <w:rPr>
                <w:rFonts w:ascii="Consolas" w:hAnsi="Consolas" w:eastAsia="Consolas"/>
                <w:color w:val="606068"/>
                <w:sz w:val="17"/>
              </w:rPr>
              <w:t>finish_course</w:t>
            </w:r>
            <w:r>
              <w:rPr>
                <w:rFonts w:ascii="Times New Roman" w:hAnsi="Times New Roman" w:eastAsia="바탕"/>
                <w:color w:val="606068"/>
                <w:sz w:val="18"/>
              </w:rPr>
              <w:t xml:space="preserve"> morpheme aims at.</w:t>
            </w:r>
          </w:p>
          <w:p>
            <w:pPr>
              <w:spacing w:after="80" w:line="276" w:lineRule="auto"/>
              <w:jc w:val="both"/>
            </w:pPr>
            <w:r>
              <w:rPr>
                <w:rFonts w:ascii="Times New Roman" w:hAnsi="Times New Roman" w:eastAsia="바탕"/>
                <w:sz w:val="20"/>
              </w:rPr>
              <w:t xml:space="preserve">If one person in three believes that, the course length written on the prescription is not unread but read and not followed. On top of this come the people who cannot read it. If a duration written in text is never delivered in the first place, that instruction may as well not exist, and this is the point SnapCare's </w:t>
            </w:r>
            <w:r>
              <w:rPr>
                <w:rFonts w:ascii="Consolas" w:hAnsi="Consolas" w:eastAsia="Consolas"/>
                <w:sz w:val="19"/>
              </w:rPr>
              <w:t>finish_course</w:t>
            </w:r>
            <w:r>
              <w:rPr>
                <w:rFonts w:ascii="Times New Roman" w:hAnsi="Times New Roman" w:eastAsia="바탕"/>
                <w:sz w:val="20"/>
              </w:rPr>
              <w:t xml:space="preserve"> morpheme is aimed at. A picture alone does not change a belief, however, and what this morpheme does extends only as far as making the duration arrive.</w:t>
            </w:r>
          </w:p>
          <w:p>
            <w:pPr>
              <w:spacing w:before="180" w:after="40"/>
            </w:pPr>
            <w:r>
              <w:rPr>
                <w:rFonts w:ascii="Times New Roman" w:hAnsi="Times New Roman" w:eastAsia="바탕"/>
                <w:b/>
                <w:sz w:val="23"/>
              </w:rPr>
              <w:t>5.9 Unverified items</w:t>
            </w:r>
          </w:p>
          <w:p>
            <w:pPr>
              <w:spacing w:after="80" w:line="276" w:lineRule="auto"/>
              <w:jc w:val="both"/>
            </w:pPr>
            <w:r>
              <w:rPr>
                <w:rFonts w:ascii="Times New Roman" w:hAnsi="Times New Roman" w:eastAsia="바탕"/>
                <w:sz w:val="20"/>
              </w:rPr>
              <w:t>We state what this proposal does not claim.</w:t>
            </w:r>
          </w:p>
          <w:p>
            <w:pPr>
              <w:spacing w:after="80" w:line="276" w:lineRule="auto"/>
              <w:jc w:val="both"/>
            </w:pPr>
            <w:r>
              <w:rPr>
                <w:rFonts w:ascii="Times New Roman" w:hAnsi="Times New Roman" w:eastAsia="바탕"/>
                <w:sz w:val="20"/>
              </w:rPr>
              <w:t xml:space="preserve">First, no comprehension testing with people was carried out. The expert survey in §5.7 is not that test: it asked people who deal with such patients daily, whereas a comprehension test has to ask the patients. The measurement in §5.2 concerns a machine, and whether the 67% criterion required by ISO 9186 is met has to be confirmed with people. Further, because misreading a dosing instruction leads directly to harm, we judge it appropriate to also apply the </w:t>
            </w:r>
            <w:r>
              <w:rPr>
                <w:rFonts w:ascii="Times New Roman" w:hAnsi="Times New Roman" w:eastAsia="바탕"/>
                <w:b/>
                <w:sz w:val="20"/>
              </w:rPr>
              <w:t>critical confusion of 5% or less</w:t>
            </w:r>
            <w:r>
              <w:rPr>
                <w:rFonts w:ascii="Times New Roman" w:hAnsi="Times New Roman" w:eastAsia="바탕"/>
                <w:sz w:val="20"/>
              </w:rPr>
              <w:t xml:space="preserve"> required by ANSI Z535.3. The field evaluation plans to tally wrong answers separately as ordinary errors and as opposite-meaning errors.</w:t>
            </w:r>
          </w:p>
          <w:p>
            <w:pPr>
              <w:spacing w:after="80" w:line="276" w:lineRule="auto"/>
              <w:jc w:val="both"/>
            </w:pPr>
            <w:r>
              <w:rPr>
                <w:rFonts w:ascii="Times New Roman" w:hAnsi="Times New Roman" w:eastAsia="바탕"/>
                <w:sz w:val="20"/>
              </w:rPr>
              <w:t>We did not write that item ourselves. The survey gave us the same thing in one sentence. Answering "could a patient who cannot read take their medicine correctly, alone, with only these screens", Associate Professor Rahul Malhotra of the Duke-NUS Medical School wrote:</w:t>
            </w:r>
          </w:p>
          <w:p>
            <w:pPr>
              <w:spacing w:after="40" w:line="276" w:lineRule="auto"/>
              <w:ind w:left="403"/>
            </w:pPr>
            <w:r>
              <w:rPr>
                <w:rFonts w:ascii="Times New Roman" w:hAnsi="Times New Roman" w:eastAsia="바탕"/>
                <w:i/>
                <w:color w:val="606068"/>
                <w:sz w:val="19"/>
              </w:rPr>
              <w:t>"Pictograms need to validated for understanding before use"</w:t>
            </w:r>
          </w:p>
          <w:p>
            <w:pPr>
              <w:spacing w:after="180" w:line="276" w:lineRule="auto"/>
              <w:ind w:left="403"/>
            </w:pPr>
            <w:r>
              <w:rPr>
                <w:rFonts w:ascii="Times New Roman" w:hAnsi="Times New Roman" w:eastAsia="바탕"/>
                <w:i w:val="0"/>
                <w:color w:val="606068"/>
                <w:sz w:val="19"/>
              </w:rPr>
              <w:t>(Associate Professor Rahul Malhotra, Duke-NUS Medical School)</w:t>
            </w:r>
          </w:p>
          <w:p>
            <w:pPr>
              <w:spacing w:after="80" w:line="276" w:lineRule="auto"/>
              <w:jc w:val="both"/>
            </w:pPr>
            <w:r>
              <w:rPr>
                <w:rFonts w:ascii="Times New Roman" w:hAnsi="Times New Roman" w:eastAsia="바탕"/>
                <w:sz w:val="20"/>
              </w:rPr>
              <w:t>Eight words, saying what the first item of this section says. Between what we measured by machine in §5.2 and what that sentence requires, the people are missing, and which of us named the gap first does not matter. That we pointed at the same place does.</w:t>
            </w:r>
          </w:p>
          <w:p>
            <w:pPr>
              <w:spacing w:after="80" w:line="276" w:lineRule="auto"/>
              <w:jc w:val="both"/>
            </w:pPr>
            <w:r>
              <w:rPr>
                <w:rFonts w:ascii="Times New Roman" w:hAnsi="Times New Roman" w:eastAsia="바탕"/>
                <w:sz w:val="20"/>
              </w:rPr>
              <w:t xml:space="preserve">Second, cultural adaptation has not been verified. In the controlled comparison showing two sets to the same 46 people, 20 of 23 locally made pictograms passed the ANSI criterion while USP-DI managed 11 of 23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Pictogram comprehension therefore varies by culture. This set was designed in Korea and needs verification with Moldovan users.</w:t>
            </w:r>
          </w:p>
          <w:p>
            <w:pPr>
              <w:spacing w:after="80" w:line="276" w:lineRule="auto"/>
              <w:jc w:val="both"/>
            </w:pPr>
            <w:r>
              <w:rPr>
                <w:rFonts w:ascii="Times New Roman" w:hAnsi="Times New Roman" w:eastAsia="바탕"/>
                <w:sz w:val="20"/>
              </w:rPr>
              <w:t>Third, no claim is made about clinical outcomes. Ownby et al. (2024), cited in §1.4, makes this item heavier. Three hundred and fifteen people with low health literacy were given an app with lowered reading difficulty and audio, and medication adherence did not move. We hold that changing the medium is different, but whether that holds can only be known by measuring, and we have not measured it. This work measured the arrival of information and did not measure improvement in adherence or health outcomes.</w:t>
            </w:r>
          </w:p>
          <w:p>
            <w:pPr>
              <w:spacing w:after="80" w:line="276" w:lineRule="auto"/>
              <w:jc w:val="both"/>
            </w:pPr>
            <w:r>
              <w:rPr>
                <w:rFonts w:ascii="Times New Roman" w:hAnsi="Times New Roman" w:eastAsia="바탕"/>
                <w:sz w:val="20"/>
              </w:rPr>
              <w:t>Fourth, the recovery path after a misclassification was not measured. Because the design does not have the user choose what they photographed (§3.3), if the app mistakes food for medicine there is nothing on screen for the user to correct it with and taking another photograph is the only option. This design made the user bear misclassification in exchange for removing the selection step, and how often that misclassification actually occurs was not measured. Nor was it confirmed whether users can notice that something has been read wrongly.</w:t>
            </w:r>
          </w:p>
          <w:p>
            <w:pPr>
              <w:spacing w:after="80" w:line="276" w:lineRule="auto"/>
              <w:jc w:val="both"/>
            </w:pPr>
            <w:r>
              <w:rPr>
                <w:rFonts w:ascii="Times New Roman" w:hAnsi="Times New Roman" w:eastAsia="바탕"/>
                <w:sz w:val="20"/>
              </w:rPr>
              <w:t xml:space="preserve">Fifth, behaviour on a slow connection was not measured. The check in §5.6 was made with the connection cut entirely. Having no connection and having a slow one fail differently, and in the latter the request does not fail but hangs for a long time. </w:t>
            </w:r>
            <w:r>
              <w:rPr>
                <w:rFonts w:ascii="Consolas" w:hAnsi="Consolas" w:eastAsia="Consolas"/>
                <w:sz w:val="19"/>
              </w:rPr>
              <w:t>Estimating…</w:t>
            </w:r>
            <w:r>
              <w:rPr>
                <w:rFonts w:ascii="Times New Roman" w:hAnsi="Times New Roman" w:eastAsia="바탕"/>
                <w:sz w:val="20"/>
              </w:rPr>
              <w:t xml:space="preserve"> stays on screen throughout, and how long to wait before giving up and offering another route has not been settled. Given the connectivity of the target regions, this is likely a more common condition than a complete outage.</w:t>
            </w:r>
          </w:p>
          <w:p>
            <w:pPr>
              <w:spacing w:after="80" w:line="276" w:lineRule="auto"/>
              <w:jc w:val="both"/>
            </w:pPr>
            <w:r>
              <w:rPr>
                <w:rFonts w:ascii="Times New Roman" w:hAnsi="Times New Roman" w:eastAsia="바탕"/>
                <w:sz w:val="20"/>
              </w:rPr>
              <w:t>Sixth, the site of administration is empty for two dosage forms. As Table 9 showed, for injections and suppositories the spoken verb cannot carry the site and yet the site is neither spoken nor drawn. In the other seven forms either the verb carries the place (Take, Breathe in) or the site is attached separately (Put in the eye, Apply on the skin); these two are neither. Choosing a site to draw for an injection would be inventing something the prescription does not contain, so we did not, and a suppository could not be stood up because the 78 morphemes cannot draw the orientation of a human body. We have not measured what share these two forms hold in real prescriptions, nor how a user receives an instruction that goes out without a site.</w:t>
            </w:r>
          </w:p>
          <w:p>
            <w:pPr>
              <w:spacing w:after="80" w:line="276" w:lineRule="auto"/>
              <w:jc w:val="both"/>
            </w:pPr>
            <w:r>
              <w:rPr>
                <w:rFonts w:ascii="Times New Roman" w:hAnsi="Times New Roman" w:eastAsia="바탕"/>
                <w:sz w:val="20"/>
              </w:rPr>
              <w:t>Seventh, the sample prescriptions have not been reviewed by a pharmacist. The four samples used in this document and in the survey of §5.7 were made by us from public sources; no pharmacist or doctor reviewed them. Five clinical errors came to light after the fact. One storage condition was raised by a respondent, and four warning lines we found ourselves while re-checking after that. All four were problems with the example rather than with the engine, but that example was where the heaviest finding of §5.7 stood. We have no grounds for saying there are no more. The wording as corrected now was corrected against public sources, not reviewed.</w:t>
            </w:r>
          </w:p>
          <w:p>
            <w:pPr>
              <w:spacing w:after="80" w:line="276" w:lineRule="auto"/>
              <w:jc w:val="both"/>
            </w:pPr>
            <w:r>
              <w:rPr>
                <w:rFonts w:ascii="Times New Roman" w:hAnsi="Times New Roman" w:eastAsia="바탕"/>
                <w:sz w:val="20"/>
              </w:rPr>
              <w:t>Eighth, users with intellectual disability were not addressed. Raisa Kravchenko, Deputy Director of the All Ukrainian NGO Coalition for Persons with Intellectual Disabilities in Ukraine, wrote that the sounds are good but the pictograms should be improved and tested with people with intellectual disability. This app was designed for low literacy, and intellectual disability is a different condition. The checking step of §3.8 is the feature closest to that direction, but it was not designed for that group.</w:t>
            </w:r>
          </w:p>
          <w:p>
            <w:pPr>
              <w:spacing w:after="80" w:line="276" w:lineRule="auto"/>
              <w:jc w:val="both"/>
            </w:pPr>
            <w:r>
              <w:rPr>
                <w:rFonts w:ascii="Times New Roman" w:hAnsi="Times New Roman" w:eastAsia="바탕"/>
                <w:sz w:val="20"/>
              </w:rPr>
              <w:t>Ninth, cross-cultural misreading was not measured. Professor Afonso Cavaco of the Universidade de Lisboa wrote that the design needs robust testing and that interpretation errors may happen, especially in cross-cultural practice. Table 6 and Figure 10 in §1.8 already show this, and our set was designed in Korea and has not yet been tested anywhere. It sits in the same place as the second item in this section, but where that item states the absence of cultural adaptation, this one states that we have not measured in which direction misreading occurs before adaptation.</w:t>
            </w:r>
          </w:p>
          <w:p>
            <w:pPr>
              <w:spacing w:after="80" w:line="276" w:lineRule="auto"/>
              <w:jc w:val="both"/>
            </w:pPr>
            <w:r>
              <w:rPr>
                <w:rFonts w:ascii="Times New Roman" w:hAnsi="Times New Roman" w:eastAsia="바탕"/>
                <w:sz w:val="20"/>
              </w:rPr>
              <w:t>Tenth, the spoken translations in six languages have had no native-speaker clinical review. The 72 morpheme sentences were carried into six languages by us and a machine, not by anyone who has counselled patients in those languages. A mistranslated dosing instruction causes exactly the harm this app exists to prevent, so until reviewed these translations hold the same status as the sample prescriptions of §5.7: plausible, and unconfirmed.</w:t>
            </w:r>
          </w:p>
          <w:p>
            <w:pPr>
              <w:spacing w:after="80" w:line="276" w:lineRule="auto"/>
              <w:jc w:val="both"/>
            </w:pPr>
            <w:r>
              <w:rPr>
                <w:rFonts w:ascii="Times New Roman" w:hAnsi="Times New Roman" w:eastAsia="바탕"/>
                <w:sz w:val="20"/>
              </w:rPr>
              <w:t>Eleventh, whether people keep using it was not measured. The formative evaluation of §5.1 covers a single capture, and whether the same person opens this app again a few days later was not measured. What the industry-practice respondent in §5.7 chose as the first thing to break in operation is that point.</w:t>
            </w:r>
          </w:p>
          <w:p>
            <w:pPr>
              <w:spacing w:before="180" w:after="40"/>
            </w:pPr>
            <w:r>
              <w:rPr>
                <w:rFonts w:ascii="Times New Roman" w:hAnsi="Times New Roman" w:eastAsia="바탕"/>
                <w:b/>
                <w:sz w:val="23"/>
              </w:rPr>
              <w:t>5.10 Future plans</w:t>
            </w:r>
          </w:p>
          <w:p>
            <w:pPr>
              <w:spacing w:after="80" w:line="276" w:lineRule="auto"/>
              <w:jc w:val="both"/>
            </w:pPr>
            <w:r>
              <w:rPr>
                <w:rFonts w:ascii="Times New Roman" w:hAnsi="Times New Roman" w:eastAsia="바탕"/>
                <w:sz w:val="20"/>
              </w:rPr>
              <w:t>The plans were not drawn up among ourselves. Points from the last box of the survey went into the table, and one of them is a single line from Professor Sung-il Cho of Seoul National University.</w:t>
            </w:r>
          </w:p>
          <w:p>
            <w:pPr>
              <w:spacing w:after="40" w:line="276" w:lineRule="auto"/>
              <w:ind w:left="403"/>
            </w:pPr>
            <w:r>
              <w:rPr>
                <w:rFonts w:ascii="Times New Roman" w:hAnsi="Times New Roman" w:eastAsia="바탕"/>
                <w:i/>
                <w:color w:val="606068"/>
                <w:sz w:val="19"/>
              </w:rPr>
              <w:t>"A plan is needed to reflect the fact that circumstances differ by country."</w:t>
            </w:r>
          </w:p>
          <w:p>
            <w:pPr>
              <w:spacing w:after="180" w:line="276" w:lineRule="auto"/>
              <w:ind w:left="403"/>
            </w:pPr>
            <w:r>
              <w:rPr>
                <w:rFonts w:ascii="Times New Roman" w:hAnsi="Times New Roman" w:eastAsia="바탕"/>
                <w:i w:val="0"/>
                <w:color w:val="606068"/>
                <w:sz w:val="19"/>
              </w:rPr>
              <w:t>(Professor Sung-il Cho, Seoul National University)</w:t>
            </w:r>
          </w:p>
          <w:p>
            <w:pPr>
              <w:spacing w:after="80" w:line="276" w:lineRule="auto"/>
              <w:jc w:val="both"/>
            </w:pPr>
            <w:r>
              <w:rPr>
                <w:rFonts w:ascii="Times New Roman" w:hAnsi="Times New Roman" w:eastAsia="바탕"/>
                <w:sz w:val="20"/>
              </w:rPr>
              <w:t>That one line separates stages 3 and 5 of the table below. Running the field evaluation of stage 3 in one country yields that country's answer only, and Table 6 in §1.8 has already shown the same picture going from 94% in one country to 8% in another. So the evaluation is split by country, and building culturally adapted versions of the morphemes was set as stage 5. That the 39 respondents work in 22 countries is itself the first data for that plan.</w:t>
            </w:r>
          </w:p>
          <w:p>
            <w:pPr>
              <w:spacing w:after="80" w:line="276" w:lineRule="auto"/>
              <w:jc w:val="both"/>
            </w:pPr>
            <w:r>
              <w:rPr>
                <w:rFonts w:ascii="Times New Roman" w:hAnsi="Times New Roman" w:eastAsia="바탕"/>
                <w:sz w:val="20"/>
              </w:rPr>
              <w:t>[Table 48] Plans after the contest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Stage</w:t>
                  </w:r>
                </w:p>
              </w:tc>
              <w:tc>
                <w:tcPr>
                  <w:tcW w:type="dxa" w:w="3238"/>
                  <w:shd w:val="clear" w:fill="F2F2F2"/>
                </w:tcPr>
                <w:p>
                  <w:r>
                    <w:rPr>
                      <w:rFonts w:ascii="Times New Roman" w:hAnsi="Times New Roman" w:eastAsia="바탕"/>
                      <w:b/>
                      <w:sz w:val="18"/>
                    </w:rPr>
                    <w:t>Content</w:t>
                  </w:r>
                </w:p>
              </w:tc>
              <w:tc>
                <w:tcPr>
                  <w:tcW w:type="dxa" w:w="3238"/>
                  <w:shd w:val="clear" w:fill="F2F2F2"/>
                </w:tcPr>
                <w:p>
                  <w:r>
                    <w:rPr>
                      <w:rFonts w:ascii="Times New Roman" w:hAnsi="Times New Roman" w:eastAsia="바탕"/>
                      <w:b/>
                      <w:sz w:val="18"/>
                    </w:rPr>
                    <w:t>Rationale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Expert opinion survey (</w:t>
                  </w:r>
                  <w:r>
                    <w:rPr>
                      <w:rFonts w:ascii="Times New Roman" w:hAnsi="Times New Roman" w:eastAsia="바탕"/>
                      <w:b/>
                      <w:sz w:val="18"/>
                    </w:rPr>
                    <w:t>complete</w:t>
                  </w:r>
                  <w:r>
                    <w:rPr>
                      <w:rFonts w:ascii="Times New Roman" w:hAnsi="Times New Roman" w:eastAsia="바탕"/>
                      <w:sz w:val="18"/>
                    </w:rPr>
                    <w:t>, §5.7)</w:t>
                  </w:r>
                </w:p>
              </w:tc>
              <w:tc>
                <w:tcPr>
                  <w:tcW w:type="dxa" w:w="3238"/>
                </w:tcPr>
                <w:p>
                  <w:r>
                    <w:rPr>
                      <w:rFonts w:ascii="Times New Roman" w:hAnsi="Times New Roman" w:eastAsia="바탕"/>
                      <w:sz w:val="18"/>
                    </w:rPr>
                    <w:t>Sent to 1,103 people, answered by 39. The defects raised pass to stages 3 and 4 below</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In-person evaluation with older Moldovan users</w:t>
                  </w:r>
                </w:p>
              </w:tc>
              <w:tc>
                <w:tcPr>
                  <w:tcW w:type="dxa" w:w="3238"/>
                </w:tcPr>
                <w:p>
                  <w:r>
                    <w:rPr>
                      <w:rFonts w:ascii="Times New Roman" w:hAnsi="Times New Roman" w:eastAsia="바탕"/>
                      <w:sz w:val="18"/>
                    </w:rPr>
                    <w:t>Addresses the first and second limitations in §5.9</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Redesign morphemes confirmed as misread</w:t>
                  </w:r>
                </w:p>
              </w:tc>
              <w:tc>
                <w:tcPr>
                  <w:tcW w:type="dxa" w:w="3238"/>
                </w:tcPr>
                <w:p>
                  <w:r>
                    <w:rPr>
                      <w:rFonts w:ascii="Times New Roman" w:hAnsi="Times New Roman" w:eastAsia="바탕"/>
                      <w:sz w:val="18"/>
                    </w:rPr>
                    <w:t>The five in §5.3 need the concept itself reconsidered</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Fix the defects raised in §5.7 (partly complete)</w:t>
                  </w:r>
                </w:p>
              </w:tc>
              <w:tc>
                <w:tcPr>
                  <w:tcW w:type="dxa" w:w="3238"/>
                </w:tcPr>
                <w:p>
                  <w:r>
                    <w:rPr>
                      <w:rFonts w:ascii="Times New Roman" w:hAnsi="Times New Roman" w:eastAsia="바탕"/>
                      <w:sz w:val="18"/>
                    </w:rPr>
                    <w:t xml:space="preserve">The contraindication marking, </w:t>
                  </w:r>
                  <w:r>
                    <w:rPr>
                      <w:rFonts w:ascii="Consolas" w:hAnsi="Consolas" w:eastAsia="Consolas"/>
                      <w:sz w:val="17"/>
                    </w:rPr>
                    <w:t>finish_course</w:t>
                  </w:r>
                  <w:r>
                    <w:rPr>
                      <w:rFonts w:ascii="Times New Roman" w:hAnsi="Times New Roman" w:eastAsia="바탕"/>
                      <w:sz w:val="18"/>
                    </w:rPr>
                    <w:t xml:space="preserve"> and the checking step (§3.8) are built. The ceiling on elements per image will be set after the field evaluation</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Formalise morphemes generated at runtime</w:t>
                  </w:r>
                </w:p>
              </w:tc>
              <w:tc>
                <w:tcPr>
                  <w:tcW w:type="dxa" w:w="3238"/>
                </w:tcPr>
                <w:p>
                  <w:r>
                    <w:rPr>
                      <w:rFonts w:ascii="Times New Roman" w:hAnsi="Times New Roman" w:eastAsia="바탕"/>
                      <w:sz w:val="18"/>
                    </w:rPr>
                    <w:t>Expand the set on the basis of the gap log the app leaves</w:t>
                  </w:r>
                </w:p>
              </w:tc>
            </w:tr>
          </w:tbl>
          <w:p/>
          <w:p>
            <w:pPr>
              <w:spacing w:after="120"/>
            </w:pPr>
          </w:p>
          <w:p>
            <w:pPr>
              <w:spacing w:after="80" w:line="276" w:lineRule="auto"/>
              <w:jc w:val="both"/>
            </w:pPr>
            <w:r>
              <w:rPr>
                <w:rFonts w:ascii="Times New Roman" w:hAnsi="Times New Roman" w:eastAsia="바탕"/>
                <w:sz w:val="20"/>
              </w:rPr>
              <w:t>Stage 2 matters most. Every measurement in this work confirmed whether information reaches the screen, and whether it is read by a person can only be learned by asking people.</w:t>
            </w:r>
          </w:p>
          <w:p>
            <w:pPr>
              <w:spacing w:after="80" w:line="276" w:lineRule="auto"/>
              <w:jc w:val="both"/>
            </w:pPr>
            <w:r>
              <w:rPr>
                <w:rFonts w:ascii="Times New Roman" w:hAnsi="Times New Roman" w:eastAsia="바탕"/>
                <w:sz w:val="20"/>
              </w:rPr>
              <w:t>How that evaluation will be run is already settled. The method follows ISO 9186-1. One picture is shown with no options given, the person says what it looks like, and whether the answer matches the intent is judged separately. That this is the same form of question as the mechanical check in §5.2 is not a coincidence. The mechanical check was built in that form precisely to measure the same thing a test with people measures.</w:t>
            </w:r>
          </w:p>
          <w:p>
            <w:pPr>
              <w:spacing w:after="80" w:line="276" w:lineRule="auto"/>
              <w:jc w:val="both"/>
            </w:pPr>
            <w:r>
              <w:rPr>
                <w:rFonts w:ascii="Times New Roman" w:hAnsi="Times New Roman" w:eastAsia="바탕"/>
                <w:sz w:val="20"/>
              </w:rPr>
              <w:t xml:space="preserve">The tally is split two ways. Ordinary wrong answers and opposite-meaning wrong answers are counted separately. ANSI Z535.3 requiring critical confusion of 5% or less alongside an 85% correct-response rate comes from the same judgement. For dosing instructions the latter matters more. Reading a picture wrapped in </w:t>
            </w:r>
            <w:r>
              <w:rPr>
                <w:rFonts w:ascii="Consolas" w:hAnsi="Consolas" w:eastAsia="Consolas"/>
                <w:sz w:val="19"/>
              </w:rPr>
              <w:t>no{}</w:t>
            </w:r>
            <w:r>
              <w:rPr>
                <w:rFonts w:ascii="Times New Roman" w:hAnsi="Times New Roman" w:eastAsia="바탕"/>
                <w:sz w:val="20"/>
              </w:rPr>
              <w:t xml:space="preserve"> as "take this" is worse than having no picture.</w:t>
            </w:r>
          </w:p>
          <w:p>
            <w:pPr>
              <w:spacing w:after="80" w:line="276" w:lineRule="auto"/>
              <w:jc w:val="both"/>
            </w:pPr>
            <w:r>
              <w:rPr>
                <w:rFonts w:ascii="Times New Roman" w:hAnsi="Times New Roman" w:eastAsia="바탕"/>
                <w:sz w:val="20"/>
              </w:rPr>
              <w:t>The sample will be older Moldovan users, with the aim, as Table 6 showed, of measuring before and after cultural adaptation separately. The way Dowse &amp; Ehlers showed two sets to the same 46 people is exactly the design we need. Testing the current set as it stands, redrawing locally the morphemes confirmed as misread, and asking the same people again would give us a figure for our own set corresponding to their 87% against 48%.</w:t>
            </w:r>
          </w:p>
          <w:p>
            <w:pPr>
              <w:spacing w:after="80" w:line="276" w:lineRule="auto"/>
              <w:jc w:val="both"/>
            </w:pPr>
            <w:r>
              <w:rPr>
                <w:rFonts w:ascii="Times New Roman" w:hAnsi="Times New Roman" w:eastAsia="바탕"/>
                <w:sz w:val="20"/>
              </w:rPr>
              <w:t>It should also be recorded that we may not obtain it. That the pass rates in Table 6 spread from 15.7% to 87% means the comprehensibility of any one set is not predictable in advance in this field. What this work offers is not a claim to have a good set but a procedure for measuring a set before release, and whatever that procedure says about our set is the result.</w:t>
            </w:r>
          </w:p>
          <w:p>
            <w:pPr>
              <w:spacing w:before="180" w:after="40"/>
            </w:pPr>
            <w:r>
              <w:rPr>
                <w:rFonts w:ascii="Times New Roman" w:hAnsi="Times New Roman" w:eastAsia="바탕"/>
                <w:b/>
                <w:sz w:val="23"/>
              </w:rPr>
              <w:t>5.11 Appendix. Every free-text response</w:t>
            </w:r>
          </w:p>
          <w:p>
            <w:pPr>
              <w:spacing w:after="80" w:line="276" w:lineRule="auto"/>
              <w:jc w:val="both"/>
            </w:pPr>
            <w:r>
              <w:rPr>
                <w:rFonts w:ascii="Times New Roman" w:hAnsi="Times New Roman" w:eastAsia="바탕"/>
                <w:sz w:val="20"/>
              </w:rPr>
              <w:t>§5.7 quotes only the responses we selected. Selecting can tilt towards what favours us, so all 124 free-text responses received are set down here in full, by question. Only line breaks were removed; nothing else was touched. Short answers ("N/A", "Yes.") are left in rather than being dropped and reinstated. Responses written in Korean are given here in our own translation; the originals stand unaltered in the Korean version of this document. Positions and affiliations are likewise as the respondent wrote them. Table 41 uses what we confirmed against the institution's own faculty listing when the list was built, so it is sometimes more specific: respondent Hangil Lee is "Professor · Ewha Womans University" here and "Associate Professor · College of Pharmacy, Ewha Womans University" there.</w:t>
            </w:r>
          </w:p>
          <w:p>
            <w:pPr>
              <w:spacing w:after="80" w:line="276" w:lineRule="auto"/>
              <w:jc w:val="both"/>
            </w:pPr>
            <w:r>
              <w:rPr>
                <w:rFonts w:ascii="Times New Roman" w:hAnsi="Times New Roman" w:eastAsia="바탕"/>
                <w:b/>
                <w:sz w:val="20"/>
              </w:rPr>
              <w:t>Anything you would add that we did not ask</w:t>
            </w:r>
            <w:r>
              <w:rPr>
                <w:rFonts w:ascii="Times New Roman" w:hAnsi="Times New Roman" w:eastAsia="바탕"/>
                <w:sz w:val="20"/>
              </w:rPr>
              <w:t xml:space="preserve"> (14)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w:t>
                  </w:r>
                  <w:r>
                    <w:rPr>
                      <w:rFonts w:ascii="Times New Roman" w:hAnsi="Times New Roman" w:eastAsia="바탕"/>
                      <w:sz w:val="18"/>
                    </w:rPr>
                    <w:t>- The pictograms define 78 "words"; even with recombination, can they really cover the very wide range of medicines and regimens? - Hearing the audio alongside helps with understanding the pictograms, but some of them look less than intuitive. - Where the instruction is negative, it would be good for the pictogram to carry a "/" or "X" as well (some do, but alcohol, pregnancy and so on do not). - Linking it to push notifications so that dosing times are announced and read aloud would help a great deal more. - Using Supertonic TTS would make multilingual expansion easy (</w:t>
                  </w:r>
                  <w:hyperlink r:id="rId64">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Being in a position of not being able to read comes from a range of individual circumstances: old age, childhood, blindness, low vision. It is certainly needed, and our own institute has run projects such as typeface development for legibility.</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From this survey alone it is clear that you may be thinking about this far harder than people currently in the field, and since that thinking and effort is towards making a better world, you have my support.</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I think this is a practical idea that can help with the difficulties people who cannot read may feel. I do not know much about implementing algorithms from an engineering standpoint so I have no technical advice, but I have some thoughts from the position of the non-literate user. 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 The same applies to the spoken explanation. It would be good if the information and explanation were accurate and pitched at their level of perception, so that a well-built function can actually be used by them.</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It is systematically put together. The level of the target group ought to be considered as well, though. Whether the pictures will be fully understood depends on whether this is simply a literacy problem or also involves age and the level of information comprehension, and I am a little concerned about that. If the prescription is not merely at the level of eye drops but for a condition requiring more expertise, it would need more consideration.</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 plan is needed to reflect the fact that circumstances differ by country.</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5">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hope the idea is developed well and that the result comes to be used meaningfully in the field.</w:t>
                  </w:r>
                </w:p>
              </w:tc>
            </w:tr>
          </w:tbl>
          <w:p/>
          <w:p>
            <w:pPr>
              <w:spacing w:after="120"/>
            </w:pPr>
          </w:p>
          <w:p>
            <w:pPr>
              <w:spacing w:after="80" w:line="276" w:lineRule="auto"/>
              <w:jc w:val="both"/>
            </w:pPr>
            <w:r>
              <w:rPr>
                <w:rFonts w:ascii="Times New Roman" w:hAnsi="Times New Roman" w:eastAsia="바탕"/>
                <w:b/>
                <w:sz w:val="20"/>
              </w:rPr>
              <w:t>Could they take it alone, and why</w:t>
            </w:r>
            <w:r>
              <w:rPr>
                <w:rFonts w:ascii="Times New Roman" w:hAnsi="Times New Roman" w:eastAsia="바탕"/>
                <w:sz w:val="20"/>
              </w:rPr>
              <w:t xml:space="preserve"> (13)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 Smartphone use by blind people is not impossible today, so it would be good to consider connecting to that as well.</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They may not know what the picture means, or may interpret it wrongly.</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someone who cannot read and is also elderly, even pressing to hear the audio may be difficult. In that case it would be good to refine the pictures further so that the meaning shows from the picture alone.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Presenting information on a multi-channel cognitive basis, combining pictogram and sound, seems the right direction. Where one pictogram contains a lot of information, however, clarity of perception can fall, so it needs simplifying around the core information.</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6">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Differences between individuals are likely to arise from health literacy, digital literacy and variation in individual health status.</w:t>
                  </w:r>
                </w:p>
              </w:tc>
            </w:tr>
          </w:tbl>
          <w:p/>
          <w:p>
            <w:pPr>
              <w:spacing w:after="120"/>
            </w:pPr>
          </w:p>
          <w:p>
            <w:pPr>
              <w:spacing w:after="80" w:line="276" w:lineRule="auto"/>
              <w:jc w:val="both"/>
            </w:pPr>
            <w:r>
              <w:rPr>
                <w:rFonts w:ascii="Times New Roman" w:hAnsi="Times New Roman" w:eastAsia="바탕"/>
                <w:b/>
                <w:sz w:val="20"/>
              </w:rPr>
              <w:t>Places likely to be misread</w:t>
            </w:r>
            <w:r>
              <w:rPr>
                <w:rFonts w:ascii="Times New Roman" w:hAnsi="Times New Roman" w:eastAsia="바탕"/>
                <w:sz w:val="20"/>
              </w:rPr>
              <w:t xml:space="preserve"> (9)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markings for 'you must do this' and 'you must not' do not seem properly distinguished. The 'must not' in particular ought to be emphasised, I think.</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Going deeper, an image database for every medicine would probably be needed. It is rare to be prescribed a single tablet alone, and when several medicines are prescribed the instructions for each may differ, so you may have to start from telling the medicines apart. 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 If the meaning is conveyed to some degree by the picture before any spoken explanation, the meaning of the prescription would come across far more easily.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additional information is presented as small images inside the eye-drop bottle pictogram, the information overlaps and legibility can fall. Presenting 'eye drops' or 'tablet' early and separating details such as morning and evening use or two drops per dose from the bottle image would be clearer.</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 half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For the black icons: when the egg allergy marking is presented in black and white only, it is hard to tell clearly that it is an egg. Icons need to be drawn as images matching the real thing.</w:t>
                  </w:r>
                </w:p>
              </w:tc>
            </w:tr>
          </w:tbl>
          <w:p/>
          <w:p>
            <w:pPr>
              <w:spacing w:after="120"/>
            </w:pPr>
          </w:p>
          <w:p>
            <w:pPr>
              <w:spacing w:after="80" w:line="276" w:lineRule="auto"/>
              <w:jc w:val="both"/>
            </w:pPr>
            <w:r>
              <w:rPr>
                <w:rFonts w:ascii="Times New Roman" w:hAnsi="Times New Roman" w:eastAsia="바탕"/>
                <w:b/>
                <w:sz w:val="20"/>
              </w:rPr>
              <w:t>What you consider to be wrong with it</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How you see the project as a whole</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References worth consulting</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7">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How you see it as a whole, from a pharmacy standpoint</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8">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Why pharmacist review is needed</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There could also be cases of drug therapy being stopped because unnecessary information was given to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How this is handled in practice today</w:t>
            </w:r>
            <w:r>
              <w:rPr>
                <w:rFonts w:ascii="Times New Roman" w:hAnsi="Times New Roman" w:eastAsia="바탕"/>
                <w:sz w:val="20"/>
              </w:rPr>
              <w:t xml:space="preserve"> (7)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Among Koreans the rate of not being able to read is close to zero, so it is mainly foreign patients. We therefore explain in English.</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tc>
            </w:tr>
          </w:tbl>
          <w:p/>
          <w:p>
            <w:pPr>
              <w:spacing w:after="120"/>
            </w:pPr>
          </w:p>
          <w:p>
            <w:pPr>
              <w:spacing w:after="80" w:line="276" w:lineRule="auto"/>
              <w:jc w:val="both"/>
            </w:pPr>
            <w:r>
              <w:rPr>
                <w:rFonts w:ascii="Times New Roman" w:hAnsi="Times New Roman" w:eastAsia="바탕"/>
                <w:b/>
                <w:sz w:val="20"/>
              </w:rPr>
              <w:t>What must not be wrong medically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What must not be conveyed by picture and speech alone</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It is compound content, too much to explain by picture alone. Only one option could be selected so I chose contraindications, but side effects and cases needing dose adjustment are also places where a pharmacist's explanation is needed beyond the picture and the audio.</w:t>
                  </w:r>
                </w:p>
              </w:tc>
            </w:tr>
          </w:tbl>
          <w:p/>
          <w:p>
            <w:pPr>
              <w:spacing w:after="120"/>
            </w:pPr>
          </w:p>
          <w:p>
            <w:pPr>
              <w:spacing w:after="80" w:line="276" w:lineRule="auto"/>
              <w:jc w:val="both"/>
            </w:pPr>
            <w:r>
              <w:rPr>
                <w:rFonts w:ascii="Times New Roman" w:hAnsi="Times New Roman" w:eastAsia="바탕"/>
                <w:b/>
                <w:sz w:val="20"/>
              </w:rPr>
              <w:t>References worth consulting (pharmacy)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 xml:space="preserve"> — pictogram information for pharmacists worldwide can be found here.</w:t>
                  </w:r>
                  <w:hyperlink r:id="rId69">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Yakhak Hoeji, a comparative analysis of domestic and international guidelines for braille labelling on medicines; and the Ministry of Food and Drug Safety guideline on braille and voice/sign-language conversion codes for medicines and quasi-drugs.</w:t>
                  </w:r>
                </w:p>
              </w:tc>
            </w:tr>
          </w:tbl>
          <w:p/>
          <w:p>
            <w:pPr>
              <w:spacing w:after="120"/>
            </w:pPr>
          </w:p>
          <w:p>
            <w:pPr>
              <w:spacing w:after="80" w:line="276" w:lineRule="auto"/>
              <w:jc w:val="both"/>
            </w:pPr>
            <w:r>
              <w:rPr>
                <w:rFonts w:ascii="Times New Roman" w:hAnsi="Times New Roman" w:eastAsia="바탕"/>
                <w:b/>
                <w:sz w:val="20"/>
              </w:rPr>
              <w:t>Whether it can fit the pharmacy workflow</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The accuracy of the app has to be secured before its convenience for it to be usable in practice, and I think it should be used as an auxiliary tool for the pharmacist.</w:t>
                  </w:r>
                </w:p>
              </w:tc>
            </w:tr>
          </w:tbl>
          <w:p/>
          <w:p>
            <w:pPr>
              <w:spacing w:after="120"/>
            </w:pPr>
          </w:p>
          <w:p>
            <w:pPr>
              <w:spacing w:after="80" w:line="276" w:lineRule="auto"/>
              <w:jc w:val="both"/>
            </w:pPr>
            <w:r>
              <w:rPr>
                <w:rFonts w:ascii="Times New Roman" w:hAnsi="Times New Roman" w:eastAsia="바탕"/>
                <w:b/>
                <w:sz w:val="20"/>
              </w:rPr>
              <w:t>Whether it can change health outcomes</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For older people with many chronic conditions, health outcomes can change if adherence improves.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The conditions need to be met from a digital-literacy standpoint. How well people who cannot read understand and use mobile and digital devices has to be examined in advance, and with that in mind the app has to be built so that instructions are conveyed by speech or picture as simply as possible. (There is an instruction reading "select any that apply to you", for instance; if that instruction cannot be read, how is the app to be used well?) A good deal of the time people also fail to understand because the wording of medication instructions is difficult. Instructions conveyed by picture or recording will likewise have to be reconstructed in the plainest possible terms while still covering the medical meaning. Examining, from the same standpoint, whether vulnerable groups such as blind and deaf users can use it without difficulty would give a better project outcome.</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How the effect should be measured</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All of 1, 2 and 3 above are possible.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answered health literacy, but since the purpose of this app is for a patient who cannot read to understand the medication instruction properly, what needs measuring is user satisfaction, users' perception of continued use, and the degree of improvement in convenience. An e-health literacy instrument looks like a tool to be used in advance, at the development stage.</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Only one answer is allowed, but I think operating the screen, managing the device and trust in the app (given the characteristics of older people) can all be causes.</w:t>
                  </w:r>
                </w:p>
              </w:tc>
            </w:tr>
          </w:tbl>
          <w:p/>
          <w:p>
            <w:pPr>
              <w:spacing w:after="120"/>
            </w:pPr>
          </w:p>
          <w:p>
            <w:pPr>
              <w:spacing w:after="80" w:line="276" w:lineRule="auto"/>
              <w:jc w:val="both"/>
            </w:pPr>
            <w:r>
              <w:rPr>
                <w:rFonts w:ascii="Times New Roman" w:hAnsi="Times New Roman" w:eastAsia="바탕"/>
                <w:b/>
                <w:sz w:val="20"/>
              </w:rPr>
              <w:t>Whether causation can be claimed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Whether you have seen patients missing medication information</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have not had many such occasions, but there are also many people who, even knowing how to read, are not receiving proper medication guidance.</w:t>
                  </w:r>
                </w:p>
              </w:tc>
            </w:tr>
          </w:tbl>
          <w:p/>
          <w:p>
            <w:pPr>
              <w:spacing w:after="120"/>
            </w:pPr>
          </w:p>
          <w:p>
            <w:pPr>
              <w:spacing w:after="80" w:line="276" w:lineRule="auto"/>
              <w:jc w:val="both"/>
            </w:pPr>
            <w:r>
              <w:rPr>
                <w:rFonts w:ascii="Times New Roman" w:hAnsi="Times New Roman" w:eastAsia="바탕"/>
                <w:b/>
                <w:sz w:val="20"/>
              </w:rPr>
              <w:t>References worth consulting (nursing and public health)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Consult research on literacy among older adults and on medication adherence in older adults. I would particularly suggest designing with a focus on who exactly the non-reading target group is to be.</w:t>
                  </w:r>
                </w:p>
              </w:tc>
            </w:tr>
          </w:tbl>
          <w:p/>
          <w:p>
            <w:pPr>
              <w:spacing w:after="120"/>
            </w:pPr>
          </w:p>
          <w:p>
            <w:pPr>
              <w:spacing w:after="80" w:line="276" w:lineRule="auto"/>
              <w:jc w:val="both"/>
            </w:pPr>
            <w:r>
              <w:rPr>
                <w:rFonts w:ascii="Times New Roman" w:hAnsi="Times New Roman" w:eastAsia="바탕"/>
                <w:b/>
                <w:sz w:val="20"/>
              </w:rPr>
              <w:t>Whether to design for the patient or the carer</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It should be built so that the patient and the carer can both understand it at the same time.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It may differ according to the age of the app's main target user and the patient's condition.</w:t>
                  </w:r>
                </w:p>
              </w:tc>
            </w:tr>
          </w:tbl>
          <w:p/>
          <w:p>
            <w:pPr>
              <w:spacing w:after="120"/>
            </w:pPr>
          </w:p>
          <w:p>
            <w:pPr>
              <w:spacing w:after="80" w:line="276" w:lineRule="auto"/>
              <w:jc w:val="both"/>
            </w:pPr>
            <w:r>
              <w:rPr>
                <w:rFonts w:ascii="Times New Roman" w:hAnsi="Times New Roman" w:eastAsia="바탕"/>
                <w:b/>
                <w:sz w:val="20"/>
              </w:rPr>
              <w:t>What to resolve first, from an HCI standpoint</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An earlier question asked how often one has seen prescriptions for people who genuinely cannot read; taken together with the answer 'almost never', it appears that validation with such people has not been carried out. Validation with real users seems essential, because however much research is done from the user's position, unless you experience the difficulty yourself there are bound to be things omitted or missed. Illiterate people may not be common around you, but you could readily find validation subjects among blind people or people of another nationality (a foreigner receiving a Korean-language prescription, or a Korean receiving one in a foreign language). To add something slightly preachy about that earlier question: you said the question of how many prescriptions for people who cannot read one has seen connects to the premise of the experiment, and most people will probably answer almost none. I hope you will not therefore conclude that this project means little. If even one person can take their medicine properly because of this project, that is a large change for that person, and development for the socially vulnerable fundamentally cannot be explained by the logic of majority benefit.</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At present this looks like a draft-presentation stage with user evaluation not yet carried out, but usability evaluation can be reflected throughout the development process and can contribute to the effectiveness of the result.</w:t>
                  </w:r>
                </w:p>
              </w:tc>
            </w:tr>
          </w:tbl>
          <w:p/>
          <w:p>
            <w:pPr>
              <w:spacing w:after="120"/>
            </w:pPr>
          </w:p>
          <w:p>
            <w:pPr>
              <w:spacing w:after="80" w:line="276" w:lineRule="auto"/>
              <w:jc w:val="both"/>
            </w:pPr>
            <w:r>
              <w:rPr>
                <w:rFonts w:ascii="Times New Roman" w:hAnsi="Times New Roman" w:eastAsia="바탕"/>
                <w:b/>
                <w:sz w:val="20"/>
              </w:rPr>
              <w:t>What a small sample can establish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I do not know how small "small" is here, but if the size makes it hard to attach meaning, it matters to make the sample as even as possible across factors such as age, level of schooling and sex. Participants should have no prior knowledge of the pictograms in question, and the survey should proceed either by having them choose the pictogram from a description or by having them describe the meaning of the pictogram (in which case multiple choice looks meaningless).</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Prior work such as Nielsen and Landauer (1993) provides grounds that the validity of usability-evaluation results can be secured with a small sample of around 15. A small-sample evaluation also has the advantage over a large survey of allowing user behaviour and reactions to be grasped in detail, so running behavioural analysis during the actual evaluation alongside the survey responses would raise the validity of the findings.</w:t>
                  </w:r>
                </w:p>
              </w:tc>
            </w:tr>
          </w:tbl>
          <w:p/>
          <w:p>
            <w:pPr>
              <w:spacing w:after="120"/>
            </w:pPr>
          </w:p>
          <w:p>
            <w:pPr>
              <w:spacing w:after="80" w:line="276" w:lineRule="auto"/>
              <w:jc w:val="both"/>
            </w:pPr>
            <w:r>
              <w:rPr>
                <w:rFonts w:ascii="Times New Roman" w:hAnsi="Times New Roman" w:eastAsia="바탕"/>
                <w:b/>
                <w:sz w:val="20"/>
              </w:rPr>
              <w:t>Whether machine pre-screening is justified</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For pre-screening rather than as a final conclusion, I think it can be used freely. Since it will ultimately be used with people, all that is needed is the resolve to discard the pre-screening result if testing with actual people shows it does not apply.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in the process of screening information with a vision-language model, the researcher sets and understands the screening criteria clearly and those criteria can be shown valid on theoretical grounds, procedural justification can be secured.</w:t>
                  </w:r>
                </w:p>
              </w:tc>
            </w:tr>
          </w:tbl>
          <w:p/>
          <w:p>
            <w:pPr>
              <w:spacing w:after="120"/>
            </w:pPr>
          </w:p>
          <w:p>
            <w:pPr>
              <w:spacing w:after="80" w:line="276" w:lineRule="auto"/>
              <w:jc w:val="both"/>
            </w:pPr>
            <w:r>
              <w:rPr>
                <w:rFonts w:ascii="Times New Roman" w:hAnsi="Times New Roman" w:eastAsia="바탕"/>
                <w:b/>
                <w:sz w:val="20"/>
              </w:rPr>
              <w:t>How many elements in one image before it breaks down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Since these are pictograms for medicines, accurate conveyance of meaning is ultimately what matters most. The more elements, the more information can be held, but where the person interpreting is illiterate, blind or foreign, their interpretive capacity cannot be assumed high. Even for information that could ordinarily be explained at once, it would be good to consider splitting the elements and explaining across two or three pictograms.</w:t>
                  </w:r>
                </w:p>
              </w:tc>
            </w:tr>
          </w:tbl>
          <w:p/>
          <w:p>
            <w:pPr>
              <w:spacing w:after="120"/>
            </w:pPr>
          </w:p>
          <w:p>
            <w:pPr>
              <w:spacing w:after="80" w:line="276" w:lineRule="auto"/>
              <w:jc w:val="both"/>
            </w:pPr>
            <w:r>
              <w:rPr>
                <w:rFonts w:ascii="Times New Roman" w:hAnsi="Times New Roman" w:eastAsia="바탕"/>
                <w:b/>
                <w:sz w:val="20"/>
              </w:rPr>
              <w:t>Where a first run gets stuck</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The question is a little hard to answer, in that someone seeking out this app probably comes to it already knowing roughly how it works. If so, a procedure of this length should be perfectly possible with the pictures and spoken explanation alongside.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 user who has difficulty reading may struggle with the subsequent steps if spoken guidance is not provided at the initial permission stage, and their actions may be constrained as a result.</w:t>
                  </w:r>
                </w:p>
              </w:tc>
            </w:tr>
          </w:tbl>
          <w:p/>
          <w:p>
            <w:pPr>
              <w:spacing w:after="120"/>
            </w:pPr>
          </w:p>
          <w:p>
            <w:pPr>
              <w:spacing w:after="80" w:line="276" w:lineRule="auto"/>
              <w:jc w:val="both"/>
            </w:pPr>
            <w:r>
              <w:rPr>
                <w:rFonts w:ascii="Times New Roman" w:hAnsi="Times New Roman" w:eastAsia="바탕"/>
                <w:b/>
                <w:sz w:val="20"/>
              </w:rPr>
              <w:t>How you see it from an adult-literacy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Given that the target group is older people, the design needs to be more concrete and should make active use of images they routinely see. Even to me, in my forties, it was hard to grasp at once what the images were saying. I would expect older people unfamiliar with images of this kind to find it harder still.</w:t>
                  </w:r>
                </w:p>
              </w:tc>
            </w:tr>
          </w:tbl>
          <w:p/>
          <w:p>
            <w:pPr>
              <w:spacing w:after="120"/>
            </w:pPr>
          </w:p>
          <w:p>
            <w:pPr>
              <w:spacing w:after="80" w:line="276" w:lineRule="auto"/>
              <w:jc w:val="both"/>
            </w:pPr>
            <w:r>
              <w:rPr>
                <w:rFonts w:ascii="Times New Roman" w:hAnsi="Times New Roman" w:eastAsia="바탕"/>
                <w:b/>
                <w:sz w:val="20"/>
              </w:rPr>
              <w:t>What learners do at present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This is second-hand. The person concerned relies on the explanation of the pharmacist or of the family member who collected the medicine.</w:t>
                  </w:r>
                </w:p>
              </w:tc>
            </w:tr>
          </w:tbl>
          <w:p/>
          <w:p>
            <w:pPr>
              <w:spacing w:after="120"/>
            </w:pPr>
          </w:p>
          <w:p>
            <w:pPr>
              <w:spacing w:after="80" w:line="276" w:lineRule="auto"/>
              <w:jc w:val="both"/>
            </w:pPr>
            <w:r>
              <w:rPr>
                <w:rFonts w:ascii="Times New Roman" w:hAnsi="Times New Roman" w:eastAsia="바탕"/>
                <w:b/>
                <w:sz w:val="20"/>
              </w:rPr>
              <w:t>Whether it could be trialled in class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You have to communicate with the institution (and the literacy teacher) first and explain the purpose, the intent and the benefit from the learners' point of view. With their cooperation you could use part of a class period to explain it to learners directly and hear what needs changing.</w:t>
                  </w:r>
                </w:p>
              </w:tc>
            </w:tr>
          </w:tbl>
          <w:p/>
          <w:p>
            <w:pPr>
              <w:spacing w:after="120"/>
            </w:pPr>
          </w:p>
          <w:p>
            <w:pPr>
              <w:spacing w:after="80" w:line="276" w:lineRule="auto"/>
              <w:jc w:val="both"/>
            </w:pPr>
            <w:r>
              <w:rPr>
                <w:rFonts w:ascii="Times New Roman" w:hAnsi="Times New Roman" w:eastAsia="바탕"/>
                <w:b/>
                <w:sz w:val="20"/>
              </w:rPr>
              <w:t>References worth consulting (adult literacy)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There are adult literacy materials produced by the Ministry of Education. It would also be worth meeting people such as Principal Youngdo Park of Suwon Jeil Lifelong School, who has devoted his life to literacy education and is still active.</w:t>
                  </w:r>
                </w:p>
              </w:tc>
            </w:tr>
          </w:tbl>
          <w:p/>
          <w:p>
            <w:pPr>
              <w:spacing w:after="120"/>
            </w:pPr>
          </w:p>
          <w:p>
            <w:pPr>
              <w:spacing w:after="80" w:line="276" w:lineRule="auto"/>
              <w:jc w:val="both"/>
            </w:pPr>
            <w:r>
              <w:rPr>
                <w:rFonts w:ascii="Times New Roman" w:hAnsi="Times New Roman" w:eastAsia="바탕"/>
                <w:b/>
                <w:sz w:val="20"/>
              </w:rPr>
              <w:t>Whether it reduces the motivation to learn to read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motivation to learn to read is more than simply acquiring a skill. I therefore do not think a tool like this would reduce the motivation to learn.</w:t>
                  </w:r>
                </w:p>
              </w:tc>
            </w:tr>
          </w:tbl>
          <w:p/>
          <w:p>
            <w:pPr>
              <w:spacing w:after="120"/>
            </w:pPr>
          </w:p>
          <w:p>
            <w:pPr>
              <w:spacing w:after="80" w:line="276" w:lineRule="auto"/>
              <w:jc w:val="both"/>
            </w:pPr>
            <w:r>
              <w:rPr>
                <w:rFonts w:ascii="Times New Roman" w:hAnsi="Times New Roman" w:eastAsia="바탕"/>
                <w:b/>
                <w:sz w:val="20"/>
              </w:rPr>
              <w:t>How you see it as a whole, from an AAC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Whether a combinatorial grammar holds up</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Which morphemes will fail</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How to test it with AAC users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Whether you have seen users of this kind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References worth consulting (AAC)</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Whether learning is required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If commercialisation is planned, the level of finish needs raising, and beyond that policy, recognition, a proposal to bodies such as the Korean Pharmaceutical Association, whether they would accept it and the price all need settling.</w:t>
                  </w:r>
                </w:p>
              </w:tc>
            </w:tr>
          </w:tbl>
          <w:p/>
          <w:p>
            <w:pPr>
              <w:spacing w:after="120"/>
            </w:pPr>
          </w:p>
          <w:p>
            <w:pPr>
              <w:spacing w:after="80" w:line="276" w:lineRule="auto"/>
              <w:jc w:val="both"/>
            </w:pPr>
            <w:r>
              <w:rPr>
                <w:rFonts w:ascii="Times New Roman" w:hAnsi="Times New Roman" w:eastAsia="바탕"/>
                <w:b/>
                <w:sz w:val="20"/>
              </w:rPr>
              <w:t>Where users drop off</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From a blind user's standpoint, accessibility and convenience are lacking, and there is no particular app or guideline.</w:t>
                  </w:r>
                </w:p>
              </w:tc>
            </w:tr>
          </w:tbl>
          <w:p/>
          <w:p>
            <w:pPr>
              <w:spacing w:after="120"/>
            </w:pPr>
          </w:p>
          <w:p>
            <w:pPr>
              <w:spacing w:after="80" w:line="276" w:lineRule="auto"/>
              <w:jc w:val="both"/>
            </w:pPr>
            <w:r>
              <w:rPr>
                <w:rFonts w:ascii="Times New Roman" w:hAnsi="Times New Roman" w:eastAsia="바탕"/>
                <w:b/>
                <w:sz w:val="20"/>
              </w:rPr>
              <w:t>Conditions for diffusion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However good a product or piece of software is, without recognition at the client or operator level there is no diffusion. Good development and a good idea need a good sales or proposal partner alongside.</w:t>
                  </w:r>
                </w:p>
              </w:tc>
            </w:tr>
          </w:tbl>
          <w:p/>
          <w:p>
            <w:pPr>
              <w:spacing w:after="120"/>
            </w:pPr>
          </w:p>
          <w:p>
            <w:pPr>
              <w:spacing w:after="80" w:line="276" w:lineRule="auto"/>
              <w:jc w:val="both"/>
            </w:pPr>
            <w:r>
              <w:rPr>
                <w:rFonts w:ascii="Times New Roman" w:hAnsi="Times New Roman" w:eastAsia="바탕"/>
                <w:b/>
                <w:sz w:val="20"/>
              </w:rPr>
              <w:t>A sustainable form of operation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An operating body and a partnership are essential, though if there is certainty about capital or investment, preparing it as a startup is one direction and one option.</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There is no material at all to judge from — no working screens of SnapCare, for instance — so I cannot judge.</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In Korea I do not think there are many adults whose literacy is low enough that they cannot understand Hangul.</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Appendix. Every multiple-choice response</w:t>
            </w:r>
          </w:p>
          <w:p>
            <w:pPr>
              <w:spacing w:after="80" w:line="276" w:lineRule="auto"/>
              <w:jc w:val="both"/>
            </w:pPr>
            <w:r>
              <w:rPr>
                <w:rFonts w:ascii="Times New Roman" w:hAnsi="Times New Roman" w:eastAsia="바탕"/>
                <w:sz w:val="20"/>
              </w:rPr>
              <w:t>For the same reason as the free text, every multiple-choice answer is set down as well. The denominator is the number of people who received that question, and since the questions differ by segment the denominator differs from question to question.</w:t>
            </w:r>
          </w:p>
          <w:p>
            <w:pPr>
              <w:spacing w:after="80" w:line="276" w:lineRule="auto"/>
              <w:jc w:val="both"/>
            </w:pPr>
            <w:r>
              <w:rPr>
                <w:rFonts w:ascii="Times New Roman" w:hAnsi="Times New Roman" w:eastAsia="바탕"/>
                <w:b/>
                <w:sz w:val="20"/>
              </w:rPr>
              <w:t>Main field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How often you meet someone who cannot read a written medication instruction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Does this approach hold up from an adult-literacy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a patient take their medicine correctly, alone, with only these screens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How learners handle medication information at present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This is second-hand. The person concerned relies on the explanation of the pharmacist or of the family member who collected the medicine.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it be trialled in class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it conflict with the motivation to learn to read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to resolve first, from an HCI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should be measured with a small sample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machine pre-screening justified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breaks as elements accumulate in one image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a first run gets stuck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pharmacist review needed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What must not be wrong medically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Can it fit the pharmacy workflow</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Instrument for measuring the effect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Have you seen patients missing medication information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Can it change actual health outcomes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Who should it be designed for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users drop off</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From a blind user's standpoint, accessibility and convenience are lacking, and there is no particular app or guideline.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 sustainable form of operation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Looking at the whole, what to resolve first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you see it as a whole, from an AAC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a combinatorial grammar hold up</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to test it with AAC users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Which morphemes will fail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Have you seen users of this kind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Is learning required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In Korea I do not think there are many adults whose literacy is low enough that they cannot understand Hangul.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hyperlink" Target="https://huggingface.co/spaces/Supertone/supertonic-3" TargetMode="External"/><Relationship Id="rId65" Type="http://schemas.openxmlformats.org/officeDocument/2006/relationships/hyperlink" Target="https://wisconsinliteracy.org/health-literacy/programs/health-literacy-programs/lets-talk-about-medicines/lets-talk-about-medicines-workbooks/special-instructions.html" TargetMode="External"/><Relationship Id="rId66" Type="http://schemas.openxmlformats.org/officeDocument/2006/relationships/hyperlink" Target="https://www.w3.org/TR/wcag2mobile-22/" TargetMode="External"/><Relationship Id="rId67" Type="http://schemas.openxmlformats.org/officeDocument/2006/relationships/hyperlink" Target="https://pubmed.ncbi.nlm.nih.gov/37214531/" TargetMode="External"/><Relationship Id="rId68" Type="http://schemas.openxmlformats.org/officeDocument/2006/relationships/hyperlink" Target="https://www.sciencedirect.com/science/article/pii/S2213398425002040" TargetMode="External"/><Relationship Id="rId69"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