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 plan is needed to reflect the fact that circumstances differ by country.</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They may not know what the picture means, or may interpret it wrongly.</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 half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There could also be cases of drug therapy being stopped because unnecessary information was given to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https://health.kr/mediCounsel/pictogram.asp — pictogram information for pharmacists worldwide can be found here.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For older people with many chronic conditions, health outcomes can change if adherence improves.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All of 1, 2 and 3 above are possible.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It should be built so that the patient and the carer can both understand it at the same time.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