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twice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200 samples drawn at fixed intervals from 5,578 handwritten drug names cut from real Bangladeshi prescriptions (RxHandBD, Zenodo 18478741, MIT licence). Bangladesh is the country of respondent Aliya Naheed, Senior Scientist. The result: read exactly, 47%; off by a character or two, 26%; read as something else entirely, 26%.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At a threshold of 0.4, 44% survive and only 74% of those are correct; at 0.6, 4% survive. No threshold satisfies accuracy and coverage together, so treating all handwriting without confidence, as the app now does, is the only honest choice left. One thing is reassuring: not one of the 200 was wrong while carrying confidence of 0.8 or higher. The model does say it cannot read what it cannot read.</w:t>
            </w:r>
          </w:p>
          <w:p>
            <w:pPr>
              <w:spacing w:after="80" w:line="276" w:lineRule="auto"/>
              <w:jc w:val="both"/>
            </w:pPr>
            <w:r>
              <w:rPr>
                <w:rFonts w:ascii="Times New Roman" w:hAnsi="Times New Roman" w:eastAsia="바탕"/>
                <w:sz w:val="20"/>
              </w:rPr>
              <w:t>In sum, Professor Celia's point is confirmed by measurement. This app cannot read handwriting; what has changed is that the screen now knows it.</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A mistranslated dosing instruction causes exactly the harm this app exists to prevent.</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345.</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