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두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80" w:line="276" w:lineRule="auto"/>
              <w:jc w:val="both"/>
            </w:pPr>
            <w:r>
              <w:rPr>
                <w:rFonts w:ascii="Times New Roman" w:hAnsi="Times New Roman" w:eastAsia="바탕"/>
                <w:sz w:val="20"/>
              </w:rPr>
              <w:t>정리하면 Celia 교수의 지적은 측정으로 확인되었다. 이 앱은 손글씨를 읽지 못하며, 달라진 것은 이제 그 사실을 화면이 안다는 것이다.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345개가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