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디스펜서의 잠금과 배출 제어(§4.3)</w:t>
                  </w:r>
                </w:p>
              </w:tc>
              <w:tc>
                <w:tcPr>
                  <w:tcW w:type="dxa" w:w="2441"/>
                </w:tcPr>
                <w:p>
                  <w:r>
                    <w:rPr>
                      <w:rFonts w:ascii="Times New Roman" w:hAnsi="Times New Roman" w:eastAsia="바탕"/>
                      <w:sz w:val="18"/>
                    </w:rPr>
                    <w:t>SDG 3.9 · §5.8</w:t>
                  </w:r>
                </w:p>
              </w:tc>
            </w:tr>
          </w:tbl>
          <w:p/>
          <w:p>
            <w:pPr>
              <w:spacing w:after="120"/>
            </w:pPr>
          </w:p>
          <w:p>
            <w:pPr>
              <w:spacing w:after="80" w:line="276" w:lineRule="auto"/>
              <w:jc w:val="both"/>
            </w:pPr>
            <w:r>
              <w:rPr>
                <w:rFonts w:ascii="Times New Roman" w:hAnsi="Times New Roman" w:eastAsia="바탕"/>
                <w:sz w:val="20"/>
              </w:rPr>
              <w:t>표의 마지막 열이 이 절에서 가장 중요하다. 네 조건에는 우리가 대조한 자료가 있고, 네 조건에는 기전의 공유만 있다.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after="80" w:line="276" w:lineRule="auto"/>
              <w:jc w:val="both"/>
            </w:pPr>
            <w:r>
              <w:rPr>
                <w:rFonts w:ascii="Times New Roman" w:hAnsi="Times New Roman" w:eastAsia="바탕"/>
                <w:sz w:val="20"/>
              </w:rPr>
              <w:t>이 화면의 한계도 적어 둔다. 채워진 막대는 짝지은 상자가 배출을 기록했거나 사용자가 스캔을 남겼을 때 채워진다. 상자 없이 손으로 먹고 스캔도 하지 않으면 그 복용은 거른 것으로 남는다. 즉 이 달력이 재는 것은 복용 자체가 아니라 이 앱을 거친 복용이며, 그 차이는 §5.9 의 미검증 항목에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2026-08-04T07:36:34Z</dcterms:modified>
</cp:coreProperties>
</file>