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same licence carries a further clause: do not use the pictograms as the sole means of conveying information to patients. The body that created the standard has written down that a picture alone is not enough, and this is the same judgement as the design in §2.1, where SnapCare layers picture, speech and colour. We agree with the clause and differ only in making the supporting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10(b)).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10(b)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of Global Symbols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the scope of the sweep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Three things were not conceded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was decided not to ask should also be recorded.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11,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Rules for handling the list were written down separately.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Language was decided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A morpheme comprehension test was left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of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of Global Symbols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The result of the WCAG 2.2 sweep and what was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of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of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The samples were corrected.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of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of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of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in order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A pixel-level check for similar pairs was added too.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The wording for standing alone was kept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of the Korea Craft and Design Foundation exactly: a hand under a running tap.</w:t>
            </w:r>
          </w:p>
          <w:p>
            <w:pPr>
              <w:spacing w:after="80" w:line="276" w:lineRule="auto"/>
              <w:jc w:val="both"/>
            </w:pPr>
            <w:r>
              <w:rPr>
                <w:rFonts w:ascii="Times New Roman" w:hAnsi="Times New Roman" w:eastAsia="바탕"/>
                <w:sz w:val="20"/>
              </w:rPr>
              <w:t>The accessibility criteria were swept. Checking WCAG 2.2 item by item, as E. A. Draffan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this sweep is something we would not have done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Kyogu Lee</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3238"/>
                </w:tcPr>
                <w:p>
                  <w:r>
                    <w:rPr>
                      <w:rFonts w:ascii="Times New Roman" w:hAnsi="Times New Roman" w:eastAsia="바탕"/>
                      <w:sz w:val="18"/>
                    </w:rPr>
                    <w:t>(name withheld)</w:t>
                  </w:r>
                </w:p>
              </w:tc>
              <w:tc>
                <w:tcPr>
                  <w:tcW w:type="dxa" w:w="3238"/>
                </w:tcPr>
                <w:p>
                  <w:r>
                    <w:rPr>
                      <w:rFonts w:ascii="Times New Roman" w:hAnsi="Times New Roman" w:eastAsia="바탕"/>
                      <w:sz w:val="18"/>
                    </w:rPr>
                    <w:t>GC Medi-AI, Uisarang Service Centre</w:t>
                  </w:r>
                </w:p>
              </w:tc>
              <w:tc>
                <w:tcPr>
                  <w:tcW w:type="dxa" w:w="3238"/>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3238"/>
                </w:tcPr>
                <w:p>
                  <w:r>
                    <w:rPr>
                      <w:rFonts w:ascii="Times New Roman" w:hAnsi="Times New Roman" w:eastAsia="바탕"/>
                      <w:sz w:val="18"/>
                    </w:rPr>
                    <w:t>Kyungseo Park</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3238"/>
                </w:tcPr>
                <w:p>
                  <w:r>
                    <w:rPr>
                      <w:rFonts w:ascii="Times New Roman" w:hAnsi="Times New Roman" w:eastAsia="바탕"/>
                      <w:sz w:val="18"/>
                    </w:rPr>
                    <w:t>Heejung Seo</w:t>
                  </w:r>
                </w:p>
              </w:tc>
              <w:tc>
                <w:tcPr>
                  <w:tcW w:type="dxa" w:w="3238"/>
                </w:tcPr>
                <w:p>
                  <w:r>
                    <w:rPr>
                      <w:rFonts w:ascii="Times New Roman" w:hAnsi="Times New Roman" w:eastAsia="바탕"/>
                      <w:sz w:val="18"/>
                    </w:rPr>
                    <w:t>Dong-eui University</w:t>
                  </w:r>
                </w:p>
              </w:tc>
              <w:tc>
                <w:tcPr>
                  <w:tcW w:type="dxa" w:w="3238"/>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3238"/>
                </w:tcPr>
                <w:p>
                  <w:r>
                    <w:rPr>
                      <w:rFonts w:ascii="Times New Roman" w:hAnsi="Times New Roman" w:eastAsia="바탕"/>
                      <w:sz w:val="18"/>
                    </w:rPr>
                    <w:t>Kyunghwa Lee</w:t>
                  </w:r>
                </w:p>
              </w:tc>
              <w:tc>
                <w:tcPr>
                  <w:tcW w:type="dxa" w:w="3238"/>
                </w:tcPr>
                <w:p>
                  <w:r>
                    <w:rPr>
                      <w:rFonts w:ascii="Times New Roman" w:hAnsi="Times New Roman" w:eastAsia="바탕"/>
                      <w:sz w:val="18"/>
                    </w:rPr>
                    <w:t>Soongsil University</w:t>
                  </w:r>
                </w:p>
              </w:tc>
              <w:tc>
                <w:tcPr>
                  <w:tcW w:type="dxa" w:w="3238"/>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 plan is needed to reflect the fact that circumstances differ by country.</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They may not know what the picture means, or may interpret it wrongly.</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Myoungsoon You</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 half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There could also be cases of drug therapy being stopped because unnecessary information was given to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https://health.kr/mediCounsel/pictogram.asp — pictogram information for pharmacists worldwide can be found here.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For older people with many chronic conditions, health outcomes can change if adherence improves.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All of 1, 2 and 3 above are possible.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It should be built so that the patient and the carer can both understand it at the same time.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