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전 세계 비문해 성인은 7억 3,900만 명이며, 그중 약 3분의 2인 4억 6,600만 명이 여성이다 (UNESCO UIS, 2024).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UIS, 2024). 중앙·남아시아는 3억 4,700만 명으로 사하라이남 아프리카 다음으로 많다 (UNESCO, 2025). 비문해 성인의 절반 이상인 4억 4,100만 명이 10개국에 집중되어 있다 (UNESCO UIS, 2024).</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 42,445명을 대상으로 한 조사에서, 응답자의 </w:t>
            </w:r>
            <w:r>
              <w:rPr>
                <w:rFonts w:ascii="Times New Roman" w:hAnsi="Times New Roman" w:eastAsia="바탕"/>
                <w:b/>
                <w:sz w:val="20"/>
              </w:rPr>
              <w:t>약 46%가 제한적 건강 문해력</w:t>
            </w:r>
            <w:r>
              <w:rPr>
                <w:rFonts w:ascii="Times New Roman" w:hAnsi="Times New Roman" w:eastAsia="바탕"/>
                <w:sz w:val="20"/>
              </w:rPr>
              <w:t>을 보였다 (HLS19, M-POHL, 2019–2021). 충분한 수준은 40%, 우수한 수준은 15%에 그쳤고, 문제적 수준이 33%, 부적절한 수준이 13%였다 (HLS19, 2021).</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국가·지역</w:t>
                  </w:r>
                </w:p>
              </w:tc>
              <w:tc>
                <w:tcPr>
                  <w:tcW w:type="dxa" w:w="3255"/>
                  <w:shd w:val="clear" w:fill="F2F2F2"/>
                </w:tcPr>
                <w:p>
                  <w:r>
                    <w:rPr>
                      <w:rFonts w:ascii="Times New Roman" w:hAnsi="Times New Roman" w:eastAsia="바탕"/>
                      <w:b/>
                      <w:sz w:val="18"/>
                    </w:rPr>
                    <w:t>제한적 건강 문해력</w:t>
                  </w:r>
                </w:p>
              </w:tc>
              <w:tc>
                <w:tcPr>
                  <w:tcW w:type="dxa" w:w="3255"/>
                  <w:shd w:val="clear" w:fill="F2F2F2"/>
                </w:tcPr>
                <w:p>
                  <w:r>
                    <w:rPr>
                      <w:rFonts w:ascii="Times New Roman" w:hAnsi="Times New Roman" w:eastAsia="바탕"/>
                      <w:b/>
                      <w:sz w:val="18"/>
                    </w:rPr>
                    <w:t>출처</w:t>
                  </w:r>
                </w:p>
              </w:tc>
            </w:tr>
            <w:tr>
              <w:tc>
                <w:tcPr>
                  <w:tcW w:type="dxa" w:w="3255"/>
                </w:tcPr>
                <w:p>
                  <w:r>
                    <w:rPr>
                      <w:rFonts w:ascii="Times New Roman" w:hAnsi="Times New Roman" w:eastAsia="바탕"/>
                      <w:sz w:val="18"/>
                    </w:rPr>
                    <w:t>유럽 17개국 평균</w:t>
                  </w:r>
                </w:p>
              </w:tc>
              <w:tc>
                <w:tcPr>
                  <w:tcW w:type="dxa" w:w="3255"/>
                </w:tcPr>
                <w:p>
                  <w:r>
                    <w:rPr>
                      <w:rFonts w:ascii="Times New Roman" w:hAnsi="Times New Roman" w:eastAsia="바탕"/>
                      <w:sz w:val="18"/>
                    </w:rPr>
                    <w:t>46%</w:t>
                  </w:r>
                </w:p>
              </w:tc>
              <w:tc>
                <w:tcPr>
                  <w:tcW w:type="dxa" w:w="3255"/>
                </w:tcPr>
                <w:p>
                  <w:r>
                    <w:rPr>
                      <w:rFonts w:ascii="Times New Roman" w:hAnsi="Times New Roman" w:eastAsia="바탕"/>
                      <w:sz w:val="18"/>
                    </w:rPr>
                    <w:t>HLS19, M-POHL (2021)</w:t>
                  </w:r>
                </w:p>
              </w:tc>
            </w:tr>
            <w:tr>
              <w:tc>
                <w:tcPr>
                  <w:tcW w:type="dxa" w:w="3255"/>
                </w:tcPr>
                <w:p>
                  <w:r>
                    <w:rPr>
                      <w:rFonts w:ascii="Times New Roman" w:hAnsi="Times New Roman" w:eastAsia="바탕"/>
                      <w:sz w:val="18"/>
                    </w:rPr>
                    <w:t>덴마크</w:t>
                  </w:r>
                </w:p>
              </w:tc>
              <w:tc>
                <w:tcPr>
                  <w:tcW w:type="dxa" w:w="3255"/>
                </w:tcPr>
                <w:p>
                  <w:r>
                    <w:rPr>
                      <w:rFonts w:ascii="Times New Roman" w:hAnsi="Times New Roman" w:eastAsia="바탕"/>
                      <w:sz w:val="18"/>
                    </w:rPr>
                    <w:t>47% (문제적 36% + 부적절 11%)</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노르웨이</w:t>
                  </w:r>
                </w:p>
              </w:tc>
              <w:tc>
                <w:tcPr>
                  <w:tcW w:type="dxa" w:w="3255"/>
                </w:tcPr>
                <w:p>
                  <w:r>
                    <w:rPr>
                      <w:rFonts w:ascii="Times New Roman" w:hAnsi="Times New Roman" w:eastAsia="바탕"/>
                      <w:sz w:val="18"/>
                    </w:rPr>
                    <w:t>46% (문제적 38% + 부적절 8%)</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한국 65세 이상</w:t>
                  </w:r>
                </w:p>
              </w:tc>
              <w:tc>
                <w:tcPr>
                  <w:tcW w:type="dxa" w:w="3255"/>
                </w:tcPr>
                <w:p>
                  <w:r>
                    <w:rPr>
                      <w:rFonts w:ascii="Times New Roman" w:hAnsi="Times New Roman" w:eastAsia="바탕"/>
                      <w:sz w:val="18"/>
                    </w:rPr>
                    <w:t>59.7% (충분 40.3%의 여집합)</w:t>
                  </w:r>
                </w:p>
              </w:tc>
              <w:tc>
                <w:tcPr>
                  <w:tcW w:type="dxa" w:w="3255"/>
                </w:tcPr>
                <w:p>
                  <w:r>
                    <w:rPr>
                      <w:rFonts w:ascii="Times New Roman" w:hAnsi="Times New Roman" w:eastAsia="바탕"/>
                      <w:sz w:val="18"/>
                    </w:rPr>
                    <w:t>국민건강영양조사 (2023)</w:t>
                  </w:r>
                </w:p>
              </w:tc>
            </w:tr>
            <w:tr>
              <w:tc>
                <w:tcPr>
                  <w:tcW w:type="dxa" w:w="3255"/>
                </w:tcPr>
                <w:p>
                  <w:r>
                    <w:rPr>
                      <w:rFonts w:ascii="Times New Roman" w:hAnsi="Times New Roman" w:eastAsia="바탕"/>
                      <w:sz w:val="18"/>
                    </w:rPr>
                    <w:t>한국 19~64세</w:t>
                  </w:r>
                </w:p>
              </w:tc>
              <w:tc>
                <w:tcPr>
                  <w:tcW w:type="dxa" w:w="3255"/>
                </w:tcPr>
                <w:p>
                  <w:r>
                    <w:rPr>
                      <w:rFonts w:ascii="Times New Roman" w:hAnsi="Times New Roman" w:eastAsia="바탕"/>
                      <w:sz w:val="18"/>
                    </w:rPr>
                    <w:t>34.1% (충분 65.9%의 여집합)</w:t>
                  </w:r>
                </w:p>
              </w:tc>
              <w:tc>
                <w:tcPr>
                  <w:tcW w:type="dxa" w:w="3255"/>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표 1이 보여주는 것은 이 문제의 지리적 범위가 우리가 흔히 상정하는 것보다 훨씬 넓다는 점이다. 덴마크와 노르웨이에서도 성인의 절반 가까이가 건강 정보를 충분히 다루지 못한다. 한국의 경우 65세 이상에서 충분한 건강정보이해능력을 가진 비율이 40.3%로, 19~64세의 65.9%와 뚜렷한 격차를 보인다 (국민건강영양조사, 2023).</w:t>
            </w:r>
          </w:p>
          <w:p>
            <w:pPr>
              <w:spacing w:before="160" w:after="60"/>
              <w:jc w:val="center"/>
            </w:pPr>
            <w:r>
              <w:drawing>
                <wp:inline xmlns:a="http://schemas.openxmlformats.org/drawingml/2006/main" xmlns:pic="http://schemas.openxmlformats.org/drawingml/2006/picture">
                  <wp:extent cx="5486400" cy="2660822"/>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6608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집단별 제한적 건강 문해력 비율. 고소득국이라고 낮지 않다는 것과, 같은 나라 안에서도 연령으로 갈린다는 것이 함께 보인다. 한국 65세 이상(59.7%)과 19~64세(34.1%)의 25.6%p 차이는 국가 간 차이보다 크다.</w:t>
            </w:r>
          </w:p>
          <w:p>
            <w:pPr>
              <w:spacing w:after="80" w:line="276" w:lineRule="auto"/>
              <w:jc w:val="both"/>
            </w:pPr>
            <w:r>
              <w:rPr>
                <w:rFonts w:ascii="Times New Roman" w:hAnsi="Times New Roman" w:eastAsia="바탕"/>
                <w:sz w:val="20"/>
              </w:rPr>
              <w:t>이 격차는 임상 결과로 이어진다. 96편의 연구를 종합한 체계적 문헌고찰에 따르면 건강 문해력이 낮은 환자는 응급실 이용이 약 1.52배, 입원이 1.5배 많고, 전체 사망률이 1.53배 높다 (Berkman et al., 2011).</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복약 오류의 유형별 분포를 보면 문제의 성격이 드러난다. 조제 단계 오류에서 누락이 32.9%, 용량 오류가 28.4%, 시각 오류가 23.2%로, 이 셋만으로 전체의 84.5%를 차지한다 (Frequency, Types, and Potential Clinical Significance of Medication-Dispensing Errors, 2009). 사건보고 분석에서도 용량·속도·횟수 오류가 32.0%로 가장 많고, 시각 오류가 13.4%로 뒤를 잇는다.</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조제 단계 비율</w:t>
                  </w:r>
                </w:p>
              </w:tc>
              <w:tc>
                <w:tcPr>
                  <w:tcW w:type="dxa" w:w="2441"/>
                  <w:shd w:val="clear" w:fill="F2F2F2"/>
                </w:tcPr>
                <w:p>
                  <w:r>
                    <w:rPr>
                      <w:rFonts w:ascii="Times New Roman" w:hAnsi="Times New Roman" w:eastAsia="바탕"/>
                      <w:b/>
                      <w:sz w:val="18"/>
                    </w:rPr>
                    <w:t>심각 위해 가능 오류 중 비율</w:t>
                  </w:r>
                </w:p>
              </w:tc>
              <w:tc>
                <w:tcPr>
                  <w:tcW w:type="dxa" w:w="2441"/>
                  <w:shd w:val="clear" w:fill="F2F2F2"/>
                </w:tcPr>
                <w:p>
                  <w:r>
                    <w:rPr>
                      <w:rFonts w:ascii="Times New Roman" w:hAnsi="Times New Roman" w:eastAsia="바탕"/>
                      <w:b/>
                      <w:sz w:val="18"/>
                    </w:rPr>
                    <w:t>대응하는 형태소</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28.4%</w:t>
                  </w:r>
                </w:p>
              </w:tc>
              <w:tc>
                <w:tcPr>
                  <w:tcW w:type="dxa" w:w="2441"/>
                </w:tcPr>
                <w:p>
                  <w:r>
                    <w:rPr>
                      <w:rFonts w:ascii="Times New Roman" w:hAnsi="Times New Roman" w:eastAsia="바탕"/>
                      <w:sz w:val="18"/>
                    </w:rPr>
                    <w:t>30.7%</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23.2%</w:t>
                  </w:r>
                </w:p>
              </w:tc>
              <w:tc>
                <w:tcPr>
                  <w:tcW w:type="dxa" w:w="2441"/>
                </w:tcPr>
                <w:p>
                  <w:r>
                    <w:rPr>
                      <w:rFonts w:ascii="Times New Roman" w:hAnsi="Times New Roman" w:eastAsia="바탕"/>
                      <w:sz w:val="18"/>
                    </w:rPr>
                    <w:t>17.1%</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32.9%</w:t>
                  </w:r>
                </w:p>
              </w:tc>
              <w:tc>
                <w:tcPr>
                  <w:tcW w:type="dxa" w:w="2441"/>
                </w:tcPr>
                <w:p>
                  <w:r>
                    <w:rPr>
                      <w:rFonts w:ascii="Times New Roman" w:hAnsi="Times New Roman" w:eastAsia="바탕"/>
                      <w:sz w:val="18"/>
                    </w:rPr>
                    <w:t>—</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중복 처방</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14.4%</w:t>
                  </w:r>
                </w:p>
              </w:tc>
              <w:tc>
                <w:tcPr>
                  <w:tcW w:type="dxa" w:w="2441"/>
                </w:tcPr>
                <w:p>
                  <w:r>
                    <w:rPr>
                      <w:rFonts w:ascii="Times New Roman" w:hAnsi="Times New Roman" w:eastAsia="바탕"/>
                      <w:sz w:val="18"/>
                    </w:rPr>
                    <w:t>상호작용 판정</w:t>
                  </w:r>
                </w:p>
              </w:tc>
            </w:tr>
          </w:tbl>
          <w:p/>
          <w:p>
            <w:pPr>
              <w:spacing w:after="120"/>
            </w:pP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before="160" w:after="60"/>
              <w:jc w:val="center"/>
            </w:pPr>
            <w:r>
              <w:drawing>
                <wp:inline xmlns:a="http://schemas.openxmlformats.org/drawingml/2006/main" xmlns:pic="http://schemas.openxmlformats.org/drawingml/2006/picture">
                  <wp:extent cx="5486400" cy="3081463"/>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308146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복약 오류의 유형별 분포. 회색은 조제 단계 오류 중의 비율, 파랑은 심각한 위해로 이어질 수 있는 오류 중의 비율이다. 용량 오류는 두 기준 모두에서 상위이며, 이것이 </w:t>
            </w:r>
            <w:r>
              <w:rPr>
                <w:rFonts w:ascii="Consolas" w:hAnsi="Consolas" w:eastAsia="Consolas"/>
                <w:color w:val="606068"/>
                <w:sz w:val="17"/>
              </w:rPr>
              <w:t>qty_one</w:t>
            </w:r>
            <w:r>
              <w:rPr>
                <w:rFonts w:ascii="Times New Roman" w:hAnsi="Times New Roman" w:eastAsia="바탕"/>
                <w:color w:val="606068"/>
                <w:sz w:val="18"/>
              </w:rPr>
              <w:t>~</w:t>
            </w:r>
            <w:r>
              <w:rPr>
                <w:rFonts w:ascii="Consolas" w:hAnsi="Consolas" w:eastAsia="Consolas"/>
                <w:color w:val="606068"/>
                <w:sz w:val="17"/>
              </w:rPr>
              <w:t>qty_five</w:t>
            </w:r>
            <w:r>
              <w:rPr>
                <w:rFonts w:ascii="Times New Roman" w:hAnsi="Times New Roman" w:eastAsia="바탕"/>
                <w:color w:val="606068"/>
                <w:sz w:val="18"/>
              </w:rPr>
              <w:t xml:space="preserve"> 형태소를 세트의 첫 자리에 둔 이유다.</w:t>
            </w:r>
          </w:p>
          <w:p>
            <w:pPr>
              <w:spacing w:after="80" w:line="276" w:lineRule="auto"/>
              <w:jc w:val="both"/>
            </w:pPr>
            <w:r>
              <w:rPr>
                <w:rFonts w:ascii="Times New Roman" w:hAnsi="Times New Roman" w:eastAsia="바탕"/>
                <w:sz w:val="20"/>
              </w:rPr>
              <w:t>결과는 비용과 사망으로 나타난다. 복약 오류 관련 전 세계 연간 비용은 약 420억 달러로 추정된다 (WHO, 2017). 미국에서는 복약 비순응의 직접 비용이 연 1,000억 달러, 회피 가능한 지출까지 포함하면 최대 3,000억 달러에 이르며, 연간 125,000명의 사망과 입원의 최소 10%가 비순응과 연관된다 (Duke Health). 고령자에서는 약물이상반응이 입원의 약 10%를 차지한다 (WHO).</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(WHO,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전 세계 성인 당뇨 유병률은 11.11%로 5억 8,900만 명에 이르며, 이 가운데 </w:t>
            </w:r>
            <w:r>
              <w:rPr>
                <w:rFonts w:ascii="Times New Roman" w:hAnsi="Times New Roman" w:eastAsia="바탕"/>
                <w:b/>
                <w:sz w:val="20"/>
              </w:rPr>
              <w:t>42.8%인 2억 5,170만 명이 진단받지 못한 상태다</w:t>
            </w:r>
            <w:r>
              <w:rPr>
                <w:rFonts w:ascii="Times New Roman" w:hAnsi="Times New Roman" w:eastAsia="바탕"/>
                <w:sz w:val="20"/>
              </w:rPr>
              <w:t xml:space="preserve"> (IDF Diabetes Atlas 11판, 2024). 미진단 비율은 지역에 따라 북미·카리브해 29.1%에서 아프리카 72.6%까지 벌어지고, 국가 단위로는 콜롬비아 16.2%에서 부르키나파소 90.4%까지 분포한다 (IDF, 2024). 미진단 당뇨인의 약 90%가 저·중소득국에 거주한다 (IDF, 2024).</w:t>
            </w:r>
          </w:p>
          <w:p>
            <w:pPr>
              <w:spacing w:after="80" w:line="276" w:lineRule="auto"/>
              <w:jc w:val="both"/>
            </w:pPr>
            <w:r>
              <w:rPr>
                <w:rFonts w:ascii="Times New Roman" w:hAnsi="Times New Roman" w:eastAsia="바탕"/>
                <w:sz w:val="20"/>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문제를 해결할 매체 자체는 이미 보급되어 있다. 미국의 65세 이상 스마트폰 보유율은 2024년 76%에서 2025년 78%로 상승했으며, 이는 불과 2년 전의 61%에서 급격히 오른 수치다 (Pew Research Center, 2024–2025). 사하라이남 아프리카의 모바일 인터넷 이용자는 2022년 약 2억 8,700만 명에서 2030년 4억 3,800만 명으로, 스마트폰 보급률은 51%에서 88%로 확대될 전망이다 (GSMA, 2023).</w:t>
            </w:r>
          </w:p>
          <w:p>
            <w:pPr>
              <w:spacing w:after="80" w:line="276" w:lineRule="auto"/>
              <w:jc w:val="both"/>
            </w:pPr>
            <w:r>
              <w:rPr>
                <w:rFonts w:ascii="Times New Roman" w:hAnsi="Times New Roman" w:eastAsia="바탕"/>
                <w:sz w:val="20"/>
              </w:rPr>
              <w:t>[표 3] 연령대별 스마트폰 보유율 (미국, 2024–2025)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76~78%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2024–2025). 65세 이상과 50세 미만의 격차는 20%p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를 함께 요구한다 (ANSI Z535.3-2022).</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연구</w:t>
                  </w:r>
                </w:p>
              </w:tc>
              <w:tc>
                <w:tcPr>
                  <w:tcW w:type="dxa" w:w="3255"/>
                  <w:shd w:val="clear" w:fill="F2F2F2"/>
                </w:tcPr>
                <w:p>
                  <w:r>
                    <w:rPr>
                      <w:rFonts w:ascii="Times New Roman" w:hAnsi="Times New Roman" w:eastAsia="바탕"/>
                      <w:b/>
                      <w:sz w:val="18"/>
                    </w:rPr>
                    <w:t>대상</w:t>
                  </w:r>
                </w:p>
              </w:tc>
              <w:tc>
                <w:tcPr>
                  <w:tcW w:type="dxa" w:w="3255"/>
                  <w:shd w:val="clear" w:fill="F2F2F2"/>
                </w:tcPr>
                <w:p>
                  <w:r>
                    <w:rPr>
                      <w:rFonts w:ascii="Times New Roman" w:hAnsi="Times New Roman" w:eastAsia="바탕"/>
                      <w:b/>
                      <w:sz w:val="18"/>
                    </w:rPr>
                    <w:t>결과</w:t>
                  </w:r>
                </w:p>
              </w:tc>
            </w:tr>
            <w:tr>
              <w:tc>
                <w:tcPr>
                  <w:tcW w:type="dxa" w:w="3255"/>
                </w:tcPr>
                <w:p>
                  <w:r>
                    <w:rPr>
                      <w:rFonts w:ascii="Times New Roman" w:hAnsi="Times New Roman" w:eastAsia="바탕"/>
                      <w:sz w:val="18"/>
                    </w:rPr>
                    <w:t>Gutierrez 등 (2022)</w:t>
                  </w:r>
                </w:p>
              </w:tc>
              <w:tc>
                <w:tcPr>
                  <w:tcW w:type="dxa" w:w="3255"/>
                </w:tcPr>
                <w:p>
                  <w:r>
                    <w:rPr>
                      <w:rFonts w:ascii="Times New Roman" w:hAnsi="Times New Roman" w:eastAsia="바탕"/>
                      <w:sz w:val="18"/>
                    </w:rPr>
                    <w:t>필리핀 성인 · USP 82종 + FIP 26종</w:t>
                  </w:r>
                </w:p>
              </w:tc>
              <w:tc>
                <w:tcPr>
                  <w:tcW w:type="dxa" w:w="3255"/>
                </w:tcPr>
                <w:p>
                  <w:r>
                    <w:rPr>
                      <w:rFonts w:ascii="Times New Roman" w:hAnsi="Times New Roman" w:eastAsia="바탕"/>
                      <w:sz w:val="18"/>
                    </w:rPr>
                    <w:t xml:space="preserve">ANSI 85% 기준 통과 </w:t>
                  </w:r>
                  <w:r>
                    <w:rPr>
                      <w:rFonts w:ascii="Times New Roman" w:hAnsi="Times New Roman" w:eastAsia="바탕"/>
                      <w:b/>
                      <w:sz w:val="18"/>
                    </w:rPr>
                    <w:t>108종 중 17종(15.7%)</w:t>
                  </w:r>
                </w:p>
              </w:tc>
            </w:tr>
            <w:tr>
              <w:tc>
                <w:tcPr>
                  <w:tcW w:type="dxa" w:w="3255"/>
                </w:tcPr>
                <w:p>
                  <w:r>
                    <w:rPr>
                      <w:rFonts w:ascii="Times New Roman" w:hAnsi="Times New Roman" w:eastAsia="바탕"/>
                      <w:sz w:val="18"/>
                    </w:rPr>
                    <w:t>Dowse et al. (2012)</w:t>
                  </w:r>
                </w:p>
              </w:tc>
              <w:tc>
                <w:tcPr>
                  <w:tcW w:type="dxa" w:w="3255"/>
                </w:tcPr>
                <w:p>
                  <w:r>
                    <w:rPr>
                      <w:rFonts w:ascii="Times New Roman" w:hAnsi="Times New Roman" w:eastAsia="바탕"/>
                      <w:sz w:val="18"/>
                    </w:rPr>
                    <w:t>픽토그램 9종</w:t>
                  </w:r>
                </w:p>
              </w:tc>
              <w:tc>
                <w:tcPr>
                  <w:tcW w:type="dxa" w:w="3255"/>
                </w:tcPr>
                <w:p>
                  <w:r>
                    <w:rPr>
                      <w:rFonts w:ascii="Times New Roman" w:hAnsi="Times New Roman" w:eastAsia="바탕"/>
                      <w:sz w:val="18"/>
                    </w:rPr>
                    <w:t xml:space="preserve">ISO 기준 통과 </w:t>
                  </w:r>
                  <w:r>
                    <w:rPr>
                      <w:rFonts w:ascii="Times New Roman" w:hAnsi="Times New Roman" w:eastAsia="바탕"/>
                      <w:b/>
                      <w:sz w:val="18"/>
                    </w:rPr>
                    <w:t>3종</w:t>
                  </w:r>
                  <w:r>
                    <w:rPr>
                      <w:rFonts w:ascii="Times New Roman" w:hAnsi="Times New Roman" w:eastAsia="바탕"/>
                      <w:sz w:val="18"/>
                    </w:rPr>
                    <w:t xml:space="preserve"> (두통·발진·구토)</w:t>
                  </w:r>
                </w:p>
              </w:tc>
            </w:tr>
            <w:tr>
              <w:tc>
                <w:tcPr>
                  <w:tcW w:type="dxa" w:w="3255"/>
                </w:tcPr>
                <w:p>
                  <w:r>
                    <w:rPr>
                      <w:rFonts w:ascii="Times New Roman" w:hAnsi="Times New Roman" w:eastAsia="바탕"/>
                      <w:sz w:val="18"/>
                    </w:rPr>
                    <w:t>Dowse &amp; Ehlers (2005)</w:t>
                  </w:r>
                </w:p>
              </w:tc>
              <w:tc>
                <w:tcPr>
                  <w:tcW w:type="dxa" w:w="3255"/>
                </w:tcPr>
                <w:p>
                  <w:r>
                    <w:rPr>
                      <w:rFonts w:ascii="Times New Roman" w:hAnsi="Times New Roman" w:eastAsia="바탕"/>
                      <w:sz w:val="18"/>
                    </w:rPr>
                    <w:t>현지 제작 vs. USP</w:t>
                  </w:r>
                </w:p>
              </w:tc>
              <w:tc>
                <w:tcPr>
                  <w:tcW w:type="dxa" w:w="3255"/>
                </w:tcPr>
                <w:p>
                  <w:r>
                    <w:rPr>
                      <w:rFonts w:ascii="Times New Roman" w:hAnsi="Times New Roman" w:eastAsia="바탕"/>
                      <w:sz w:val="18"/>
                    </w:rPr>
                    <w:t xml:space="preserve">ANSI 기준 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r>
              <w:tc>
                <w:tcPr>
                  <w:tcW w:type="dxa" w:w="3255"/>
                </w:tcPr>
                <w:p>
                  <w:r>
                    <w:rPr>
                      <w:rFonts w:ascii="Times New Roman" w:hAnsi="Times New Roman" w:eastAsia="바탕"/>
                      <w:sz w:val="18"/>
                    </w:rPr>
                    <w:t>이란 대상 연구 (2020)</w:t>
                  </w:r>
                </w:p>
              </w:tc>
              <w:tc>
                <w:tcPr>
                  <w:tcW w:type="dxa" w:w="3255"/>
                </w:tcPr>
                <w:p>
                  <w:r>
                    <w:rPr>
                      <w:rFonts w:ascii="Times New Roman" w:hAnsi="Times New Roman" w:eastAsia="바탕"/>
                      <w:sz w:val="18"/>
                    </w:rPr>
                    <w:t>USP 픽토그램</w:t>
                  </w:r>
                </w:p>
              </w:tc>
              <w:tc>
                <w:tcPr>
                  <w:tcW w:type="dxa" w:w="3255"/>
                </w:tcPr>
                <w:p>
                  <w:r>
                    <w:rPr>
                      <w:rFonts w:ascii="Times New Roman" w:hAnsi="Times New Roman" w:eastAsia="바탕"/>
                      <w:sz w:val="18"/>
                    </w:rPr>
                    <w:t xml:space="preserve">정답률 </w:t>
                  </w:r>
                  <w:r>
                    <w:rPr>
                      <w:rFonts w:ascii="Times New Roman" w:hAnsi="Times New Roman" w:eastAsia="바탕"/>
                      <w:b/>
                      <w:sz w:val="18"/>
                    </w:rPr>
                    <w:t>0~68%</w:t>
                  </w:r>
                  <w:r>
                    <w:rPr>
                      <w:rFonts w:ascii="Times New Roman" w:hAnsi="Times New Roman" w:eastAsia="바탕"/>
                      <w:sz w:val="18"/>
                    </w:rPr>
                    <w:t>, 오답률 28.6~80.3%</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et al., 2022). 나아가 건강 문해력이 낮을수록 픽토그램 오독률이 높다는 것이 통계적으로 확인되었으며 (Dowse, 2023), 저문해 환자에게서는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현상까지 보고되었다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268683"/>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26868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분자와 분모가 모두 확인된 연구만 실었다 — Dowse &amp; Ehlers 의 20 대 11 은 분모를 확인하지 못했고, 이란 연구의 0~68% 는 통과율이 아니라 문항별 정답률이라 같은 축에 놓을 수 없다. 본 연구 값(69.2%)은 §5.2 의 기계 판정 결과이며 사람 대상 시험이 아니므로 앞의 둘과 직접 비교할 수 없다. 같은 축에 놓은 것은 우열을 주장하기 위해서가 아니라, 우리 값이 이 분야가 반복해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이다. USP 라이선스는 "81개 심볼은 변형하거나 다른 이미지와 결합해서는 안 된다" 고 규정한다 (USP License Agreement). 즉 표준을 준수하는 한 조합은 앞으로도 불가능하다.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Times New Roman" w:hAnsi="Times New Roman" w:eastAsia="바탕"/>
                <w:i/>
                <w:sz w:val="20"/>
              </w:rPr>
              <w:t>It's not just illiteracy</w:t>
            </w:r>
            <w:r>
              <w:rPr>
                <w:rFonts w:ascii="Times New Roman" w:hAnsi="Times New Roman" w:eastAsia="바탕"/>
                <w:sz w:val="20"/>
              </w:rPr>
              <w:t>).</w:t>
            </w:r>
          </w:p>
          <w:p>
            <w:pPr>
              <w:spacing w:after="80" w:line="276" w:lineRule="auto"/>
              <w:jc w:val="both"/>
            </w:pPr>
            <w:r>
              <w:rPr>
                <w:rFonts w:ascii="Times New Roman" w:hAnsi="Times New Roman" w:eastAsia="바탕"/>
                <w:sz w:val="20"/>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2024). 여기에 건강 문해력 기준을 적용하면 유럽에서도 성인의 46%가 해당한다 (HLS19,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2024–2025).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환자의 42.8%가 진단받지 못한 상태이며 (IDF, 2024),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w:t>
            </w:r>
            <w:r>
              <w:rPr>
                <w:rFonts w:ascii="Times New Roman" w:hAnsi="Times New Roman" w:eastAsia="바탕"/>
                <w:i/>
                <w:sz w:val="20"/>
              </w:rPr>
              <w:t>It's not just illiteracy</w:t>
            </w:r>
            <w:r>
              <w:rPr>
                <w:rFonts w:ascii="Times New Roman" w:hAnsi="Times New Roman" w:eastAsia="바탕"/>
                <w:sz w:val="20"/>
              </w:rPr>
              <w:t>),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색은 남성의 약 8%, 여성의 0.5%에게 전달되지 않는다 (색각이상 유병률).</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