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200 samples drawn at fixed intervals from 5,578 handwritten drug names cut from real Bangladeshi prescriptions (RxHandBD, Zenodo 18478741, MIT licence). Bangladesh is the country of respondent Aliya Naheed, Senior Scientist. The result: read exactly, 47%; off by a character or two, 26%; read as something else entirely, 26%.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At a threshold of 0.4, 44% survive and only 74% of those are correct; at 0.6, 4% survive. No threshold satisfies accuracy and coverage together, so treating all handwriting without confidence, as the app now does, is the only honest choice left. One thing is reassuring: not one of the 200 was wrong while carrying confidence of 0.8 or higher. The model does say it cannot read what it cannot read.</w:t>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How 200 handwritten drug names were read, and why confidence cannot filter them. The right panel is the design basis: the share surviving (grey) and the accuracy of the survivors (blue) move in opposite directions, so no threshold satisfies both, and all handwriting is therefore handled without confidence. The red bar on the left is the heaviest finding of this measurement. A name read as something else looks wrong; a name off by a character or two can be a different drug that actually exists.</w:t>
            </w: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21_handwriting.png"/>
                          <pic:cNvPicPr/>
                        </pic:nvPicPr>
                        <pic:blipFill>
                          <a:blip r:embed="rId55"/>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We also measured what the user actually photographs, the full prescription page. From 200 Bangladeshi prescription pages annotated with the number of drug-name regions (Mendeley k62rfd23kz, CC BY 4.0), 60 were drawn at fixed intervals and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This measurement found a defect. On the first run 11 of the 60 pages failed outright, and not at random: every one carried 5 to 12 medicines, and the same pages failed on every rerun. The cause was the reply-length cap (</w:t>
            </w:r>
            <w:r>
              <w:rPr>
                <w:rFonts w:ascii="Consolas" w:hAnsi="Consolas" w:eastAsia="Consolas"/>
                <w:sz w:val="19"/>
              </w:rPr>
              <w:t>max_tokens: 700</w:t>
            </w:r>
            <w:r>
              <w:rPr>
                <w:rFonts w:ascii="Times New Roman" w:hAnsi="Times New Roman" w:eastAsia="바탕"/>
                <w:sz w:val="20"/>
              </w:rPr>
              <w:t xml:space="preserve">). The answer was cut off mid-stream, the truncated JSON failed to parse, and the screen said "could not read it."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precisely that person's prescription would not read. The comment in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the same 60 pages were measured again. Recognition as a prescription rose from 81.7% to 98.3%, recall of the medicine count from 89.7% to 91.0%, all 60 were flagged handwritten, and no page had an invented schedule. Opening the 4 pages that carried one showed each was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The same 60 pages measured before and after the fix. The gap in the left pair is the 11 truncated replies. A caveat belongs beside it: the two values must not be multiplied together. The 91% recall is a count, not letter accuracy; letter accuracy is the 47% of Figure 41. Different sample, different task.</w:t>
            </w:r>
          </w:p>
          <w:p>
            <w:pPr>
              <w:spacing w:before="160" w:after="60"/>
              <w:jc w:val="center"/>
            </w:pPr>
            <w:r>
              <w:drawing>
                <wp:inline xmlns:a="http://schemas.openxmlformats.org/drawingml/2006/main" xmlns:pic="http://schemas.openxmlformats.org/drawingml/2006/picture">
                  <wp:extent cx="5486400" cy="2103120"/>
                  <wp:docPr id="42" name="Picture 42"/>
                  <wp:cNvGraphicFramePr>
                    <a:graphicFrameLocks noChangeAspect="1"/>
                  </wp:cNvGraphicFramePr>
                  <a:graphic>
                    <a:graphicData uri="http://schemas.openxmlformats.org/drawingml/2006/picture">
                      <pic:pic>
                        <pic:nvPicPr>
                          <pic:cNvPr id="0" name="chart22_pageeval.png"/>
                          <pic:cNvPicPr/>
                        </pic:nvPicPr>
                        <pic:blipFill>
                          <a:blip r:embed="rId56"/>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3" name="Picture 43"/>
                  <wp:cNvGraphicFramePr>
                    <a:graphicFrameLocks noChangeAspect="1"/>
                  </wp:cNvGraphicFramePr>
                  <a:graphic>
                    <a:graphicData uri="http://schemas.openxmlformats.org/drawingml/2006/picture">
                      <pic:pic>
                        <pic:nvPicPr>
                          <pic:cNvPr id="0" name="chart18_field_answers.png"/>
                          <pic:cNvPicPr/>
                        </pic:nvPicPr>
                        <pic:blipFill>
                          <a:blip r:embed="rId57"/>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A mistranslated dosing instruction causes exactly the harm this app exists to prevent.</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345.</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4" name="Picture 44"/>
                  <wp:cNvGraphicFramePr>
                    <a:graphicFrameLocks noChangeAspect="1"/>
                  </wp:cNvGraphicFramePr>
                  <a:graphic>
                    <a:graphicData uri="http://schemas.openxmlformats.org/drawingml/2006/picture">
                      <pic:pic>
                        <pic:nvPicPr>
                          <pic:cNvPr id="0" name="chart14_amr_region.png"/>
                          <pic:cNvPicPr/>
                        </pic:nvPicPr>
                        <pic:blipFill>
                          <a:blip r:embed="rId58"/>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