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문법으로 합성하는 SIGIL 과 음성 지시를 재구성하는 VOCA — 을 통해 화면 어디에서도 글을 읽거나 입력할 것을 요구하지 않으며, 판정은 기기 안에서 이루어져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문제의 규모 — 읽지 못하는 사람은 줄지 않고 있다</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02918"/>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0291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이것은 저소득국만의 문제가 아니다</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1] 주요국 제한적 건강 문해력 비율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1이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나온다 — 하위층 54.4%, 상위층 66.3%. 즉 이것은 "글을 못 읽는 나라" 의 문제가 아니라, 어느 나라에서든 </w:t>
            </w:r>
            <w:r>
              <w:rPr>
                <w:rFonts w:ascii="Times New Roman" w:hAnsi="Times New Roman" w:eastAsia="바탕"/>
                <w:b/>
                <w:sz w:val="20"/>
              </w:rPr>
              <w:t>나이 들고 형편이 어려운 쪽</w:t>
            </w:r>
            <w:r>
              <w:rPr>
                <w:rFonts w:ascii="Times New Roman" w:hAnsi="Times New Roman" w:eastAsia="바탕"/>
                <w:sz w:val="20"/>
              </w:rPr>
              <w:t>에 몰리는 문제다. SnapCare 가 한국과 몰도바 양쪽을 대상으로 잡을 수 있는 것도 이 때문이다.</w:t>
            </w:r>
          </w:p>
          <w:p>
            <w:pPr>
              <w:spacing w:before="160" w:after="60"/>
              <w:jc w:val="center"/>
            </w:pPr>
            <w:r>
              <w:drawing>
                <wp:inline xmlns:a="http://schemas.openxmlformats.org/drawingml/2006/main" xmlns:pic="http://schemas.openxmlformats.org/drawingml/2006/picture">
                  <wp:extent cx="5486400" cy="2773251"/>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773251"/>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둘이다 — 약을 올바로 복용해 보이는 능력과, 라벨과 보건 메시지를 해석하는 능력.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정보가 도달하지 않을 때 무엇이 일어나는가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§5.7 에 남긴 미검증 항목에 해당한다.</w:t>
            </w:r>
          </w:p>
          <w:p>
            <w:pPr>
              <w:spacing w:before="160" w:after="60"/>
              <w:jc w:val="center"/>
            </w:pPr>
            <w:r>
              <w:drawing>
                <wp:inline xmlns:a="http://schemas.openxmlformats.org/drawingml/2006/main" xmlns:pic="http://schemas.openxmlformats.org/drawingml/2006/picture">
                  <wp:extent cx="5486400" cy="2945876"/>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294587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 xml:space="preserve">결과는 비용과 사망으로 나타난다. 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문제는 인식되었으나 마지막 한 걸음에 닿지 않았다</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진단받지 못한 사람이 절반에 가깝다</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경로는 이미 열려 있다</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3]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3009829"/>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300982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대상 인구는 늘고, 저·중소득국으로 이동한다</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 xml:space="preserve">표본이 131명으로 작고 조사가 2017년에 이루어졌다는 점은 밝혀 둔다. 이 값을 한국 고령자 전체의 추정치로 쓰기에는 무리가 있으며, 여기서 쓰는 것은 </w:t>
            </w:r>
            <w:r>
              <w:rPr>
                <w:rFonts w:ascii="Times New Roman" w:hAnsi="Times New Roman" w:eastAsia="바탕"/>
                <w:b/>
                <w:sz w:val="20"/>
              </w:rPr>
              <w:t>비율의 방향</w:t>
            </w:r>
            <w:r>
              <w:rPr>
                <w:rFonts w:ascii="Times New Roman" w:hAnsi="Times New Roman" w:eastAsia="바탕"/>
                <w:sz w:val="20"/>
              </w:rPr>
              <w:t>이다 —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전달은 효과가 있으나, 그 자체로 충분하지 않다</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 또는 음성과 밀접히 결합했을 때</w:t>
            </w:r>
            <w:r>
              <w:rPr>
                <w:rFonts w:ascii="Times New Roman" w:hAnsi="Times New Roman" w:eastAsia="바탕"/>
                <w:sz w:val="20"/>
              </w:rPr>
              <w:t xml:space="preserve">의 것이다. 원문은 "written or spoken text" 라고 쓴다. 이 구분이 본 연구의 설계에 직접 닿는다 — SnapCare 는 그림을 문자와 짝지우지 않고 </w:t>
            </w:r>
            <w:r>
              <w:rPr>
                <w:rFonts w:ascii="Times New Roman" w:hAnsi="Times New Roman" w:eastAsia="바탕"/>
                <w:b/>
                <w:sz w:val="20"/>
              </w:rPr>
              <w:t>음성과</w:t>
            </w:r>
            <w:r>
              <w:rPr>
                <w:rFonts w:ascii="Times New Roman" w:hAnsi="Times New Roman" w:eastAsia="바탕"/>
                <w:sz w:val="20"/>
              </w:rPr>
              <w:t xml:space="preserve">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가장 직접적인 증거는 Dowse &amp; Ehlers 의 대조 실험이다 —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xml:space="preserve">, 45(2):87–99, 2001). </w:t>
            </w:r>
            <w:r>
              <w:rPr>
                <w:rFonts w:ascii="Times New Roman" w:hAnsi="Times New Roman" w:eastAsia="바탕"/>
                <w:b/>
                <w:sz w:val="20"/>
              </w:rPr>
              <w:t>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2736359"/>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273635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막대마다 적용된 기준이 달라 아래에 함께 적었다 —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표준의 한계 — 결합할 수 없다</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또한 USP 픽토그램의 자막(subtitle)이 문자 기반이며 최신 근거를 반영하지 못한다는 지적과 (Patient Preference and Adherence), 문화권에 따라 이해도가 달라 문화 적응판이 필요하다는 권고가 있다 (나이지리아·이란 대상 연구).</w:t>
            </w:r>
          </w:p>
          <w:p>
            <w:pPr>
              <w:spacing w:before="180" w:after="40"/>
            </w:pPr>
            <w:r>
              <w:rPr>
                <w:rFonts w:ascii="Times New Roman" w:hAnsi="Times New Roman" w:eastAsia="바탕"/>
                <w:b/>
                <w:sz w:val="23"/>
              </w:rPr>
              <w:t>1.10 문자를 없애는 것만으로는 접근성이 완성되지 않는다</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유럽에서도 성인의 46%가 해당한다 (HLS19 Consortium, 2021).</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고령층의 76~78%가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 그러나 이러한 시스템은 학술 문헌이나 상용 서비스에서 보고된 바가 없다.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해결 방식 — 판단 경로에서 문자를 제거한다</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2195911"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스크롤하지 않고 보이는 만큼을 그대로 잘랐다 — 앱을 열었을 때 실제로 마주치는 화면이 이것이다. 화면에서 가장 큰 요소가 촬영 버튼 하나이고, 메뉴도 검색창도 없다. 선택이 하나뿐이라는 것이 §1.9 에서 확인한 계층 구조 장벽에 대한 대응이다.</w:t>
            </w:r>
          </w:p>
          <w:p>
            <w:pPr>
              <w:spacing w:before="180" w:after="40"/>
            </w:pPr>
            <w:r>
              <w:rPr>
                <w:rFonts w:ascii="Times New Roman" w:hAnsi="Times New Roman" w:eastAsia="바탕"/>
                <w:b/>
                <w:sz w:val="23"/>
              </w:rPr>
              <w:t>2.2 SIGIL — 픽토그램을 문법으로 합성한다</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읽어 주는 것이 아니라 다시 구성한다</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IVR 연구에 있다. 고령 사용자의 음성 인터페이스 사용성 평가는 젊은 사용자보다 일관되게 낮으며, 그 주원인은 </w:t>
            </w:r>
            <w:r>
              <w:rPr>
                <w:rFonts w:ascii="Times New Roman" w:hAnsi="Times New Roman" w:eastAsia="바탕"/>
                <w:b/>
                <w:sz w:val="20"/>
              </w:rPr>
              <w:t>선택지의 혼란, 말 속도, 선택지의 길이</w:t>
            </w:r>
            <w:r>
              <w:rPr>
                <w:rFonts w:ascii="Times New Roman" w:hAnsi="Times New Roman" w:eastAsia="바탕"/>
                <w:sz w:val="20"/>
              </w:rPr>
              <w:t xml:space="preserve">로 확인되었다 (Designing IVR interfaces).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 xml:space="preserve">동사만 갈리는 것이 아니라 </w:t>
            </w:r>
            <w:r>
              <w:rPr>
                <w:rFonts w:ascii="Times New Roman" w:hAnsi="Times New Roman" w:eastAsia="바탕"/>
                <w:b/>
                <w:sz w:val="20"/>
              </w:rPr>
              <w:t>부위</w:t>
            </w:r>
            <w:r>
              <w:rPr>
                <w:rFonts w:ascii="Times New Roman" w:hAnsi="Times New Roman" w:eastAsia="바탕"/>
                <w:sz w:val="20"/>
              </w:rPr>
              <w:t>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§1.9 에서 확인한 대로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 흡입기든 네뷸라이저든 화면에는 약병이 떴고, </w:t>
            </w:r>
            <w:r>
              <w:rPr>
                <w:rFonts w:ascii="Times New Roman" w:hAnsi="Times New Roman" w:eastAsia="바탕"/>
                <w:b/>
                <w:sz w:val="20"/>
              </w:rPr>
              <w:t>그런 일이 얼마나 자주 일어나는지 아무 기록도 남지 않았다.</w:t>
            </w:r>
            <w:r>
              <w:rPr>
                <w:rFonts w:ascii="Times New Roman" w:hAnsi="Times New Roman" w:eastAsia="바탕"/>
                <w:sz w:val="20"/>
              </w:rPr>
              <w:t xml:space="preserve">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없다고 알린다 (§2.6).</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w:t>
            </w:r>
            <w:r>
              <w:rPr>
                <w:rFonts w:ascii="Times New Roman" w:hAnsi="Times New Roman" w:eastAsia="바탕"/>
                <w:b/>
                <w:sz w:val="20"/>
              </w:rPr>
              <w:t>그릇</w:t>
            </w:r>
            <w:r>
              <w:rPr>
                <w:rFonts w:ascii="Times New Roman" w:hAnsi="Times New Roman" w:eastAsia="바탕"/>
                <w:sz w:val="20"/>
              </w:rPr>
              <w:t xml:space="preserve">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 우리가 짐작한 순서가 아니라 사용자가 실제로 마주친 순서다.</w:t>
            </w:r>
          </w:p>
          <w:p>
            <w:pPr>
              <w:spacing w:before="180" w:after="40"/>
            </w:pPr>
            <w:r>
              <w:rPr>
                <w:rFonts w:ascii="Times New Roman" w:hAnsi="Times New Roman" w:eastAsia="바탕"/>
                <w:b/>
                <w:sz w:val="23"/>
              </w:rPr>
              <w:t>2.4 판정은 사람마다 다르게 나온다</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모두 </w:t>
            </w:r>
            <w:r>
              <w:rPr>
                <w:rFonts w:ascii="Times New Roman" w:hAnsi="Times New Roman" w:eastAsia="바탕"/>
                <w:b/>
                <w:sz w:val="20"/>
              </w:rPr>
              <w:t>총 에너지에 대한 비율</w:t>
            </w:r>
            <w:r>
              <w:rPr>
                <w:rFonts w:ascii="Times New Roman" w:hAnsi="Times New Roman" w:eastAsia="바탕"/>
                <w:sz w:val="20"/>
              </w:rPr>
              <w:t>로 기술되어 있다. 유리당은 총 에너지의 10% 미만, 포화지방도 10% 미만이며, 소금만 1일 5g 미만이라는 절대량으로 주어진다 (WHO Fact Sheet N°394).</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진단을 전제하지 않고 묻는다</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6]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7]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연구의 고유한 기여다.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는 기존 문헌에서 보고된 바 없으며, 이는 §5에서 상술한다.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195482"/>
                  <wp:docPr id="9" name="Picture 9"/>
                  <wp:cNvGraphicFramePr>
                    <a:graphicFrameLocks noChangeAspect="1"/>
                  </wp:cNvGraphicFramePr>
                  <a:graphic>
                    <a:graphicData uri="http://schemas.openxmlformats.org/drawingml/2006/picture">
                      <pic:pic>
                        <pic:nvPicPr>
                          <pic:cNvPr id="0" name="panelA_flow.png"/>
                          <pic:cNvPicPr/>
                        </pic:nvPicPr>
                        <pic:blipFill>
                          <a:blip r:embed="rId23"/>
                          <a:stretch>
                            <a:fillRect/>
                          </a:stretch>
                        </pic:blipFill>
                        <pic:spPr>
                          <a:xfrm>
                            <a:off x="0" y="0"/>
                            <a:ext cx="5486400" cy="419548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촬영에서 판정까지. (a) 촬영 화면 — 무엇을 찍는지 사용자가 고르지 않는다. (b) 인식 진행 — 이 단계를 감추지 않은 것은 의도적이다. 아무 표시 없이 멈춘 화면은 고장으로 읽힌다. (c) 처방 판정 —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모델(ConvNeXt-tiny-224, Nutrition5k 학습)이 에너지·질량·지방·탄수화물·단백질 다섯 값을 회귀한다.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154750"/>
                  <wp:docPr id="10" name="Picture 10"/>
                  <wp:cNvGraphicFramePr>
                    <a:graphicFrameLocks noChangeAspect="1"/>
                  </wp:cNvGraphicFramePr>
                  <a:graphic>
                    <a:graphicData uri="http://schemas.openxmlformats.org/drawingml/2006/picture">
                      <pic:pic>
                        <pic:nvPicPr>
                          <pic:cNvPr id="0" name="panelB_nutrition.png"/>
                          <pic:cNvPicPr/>
                        </pic:nvPicPr>
                        <pic:blipFill>
                          <a:blip r:embed="rId24"/>
                          <a:stretch>
                            <a:fillRect/>
                          </a:stretch>
                        </pic:blipFill>
                        <pic:spPr>
                          <a:xfrm>
                            <a:off x="0" y="0"/>
                            <a:ext cx="5486400" cy="415475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판정 이후. (a) 영양성분표 판정 — 수치를 그대로 옮기지 않고 이 사람의 하루 기준치에서 차지하는 비중으로 바꾼다. (b) 오늘 누적 — 한 번의 판정이 아니라 하루의 합이다. 아래의 출처 표시를 화면에서 지운 적이 없다. (c) 기기 연동 —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1" name="Picture 11"/>
                  <wp:cNvGraphicFramePr>
                    <a:graphicFrameLocks noChangeAspect="1"/>
                  </wp:cNvGraphicFramePr>
                  <a:graphic>
                    <a:graphicData uri="http://schemas.openxmlformats.org/drawingml/2006/picture">
                      <pic:pic>
                        <pic:nvPicPr>
                          <pic:cNvPr id="0" name="fig10_dispenser.png"/>
                          <pic:cNvPicPr/>
                        </pic:nvPicPr>
                        <pic:blipFill>
                          <a:blip r:embed="rId2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2" name="Picture 12"/>
                  <wp:cNvGraphicFramePr>
                    <a:graphicFrameLocks noChangeAspect="1"/>
                  </wp:cNvGraphicFramePr>
                  <a:graphic>
                    <a:graphicData uri="http://schemas.openxmlformats.org/drawingml/2006/picture">
                      <pic:pic>
                        <pic:nvPicPr>
                          <pic:cNvPr id="0" name="fig11_userflow.png"/>
                          <pic:cNvPicPr/>
                        </pic:nvPicPr>
                        <pic:blipFill>
                          <a:blip r:embed="rId26"/>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8]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얼굴·나이·조건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8의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 — 나이를 묻는다</w:t>
            </w:r>
          </w:p>
          <w:p>
            <w:pPr>
              <w:spacing w:after="80" w:line="276" w:lineRule="auto"/>
              <w:jc w:val="both"/>
            </w:pPr>
            <w:r>
              <w:rPr>
                <w:rFonts w:ascii="Times New Roman" w:hAnsi="Times New Roman" w:eastAsia="바탕"/>
                <w:sz w:val="20"/>
              </w:rPr>
              <w:t>앱을 처음 열면 네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그림으로 고른다.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860800" cy="4754880"/>
                  <wp:docPr id="13" name="Picture 13"/>
                  <wp:cNvGraphicFramePr>
                    <a:graphicFrameLocks noChangeAspect="1"/>
                  </wp:cNvGraphicFramePr>
                  <a:graphic>
                    <a:graphicData uri="http://schemas.openxmlformats.org/drawingml/2006/picture">
                      <pic:pic>
                        <pic:nvPicPr>
                          <pic:cNvPr id="0" name="panelC_onboarding.png"/>
                          <pic:cNvPicPr/>
                        </pic:nvPicPr>
                        <pic:blipFill>
                          <a:blip r:embed="rId27"/>
                          <a:stretch>
                            <a:fillRect/>
                          </a:stretch>
                        </pic:blipFill>
                        <pic:spPr>
                          <a:xfrm>
                            <a:off x="0" y="0"/>
                            <a:ext cx="386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첫 실행. (a) 안내 네 장 — 모두 그림과 한 문장이고 각 문장은 눌러서 들을 수 있다. (b) 프로필 설정 — 나이 구간은 얼굴 그림으로,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9 의 (b)·(c) 에 있다.</w:t>
            </w:r>
          </w:p>
          <w:p>
            <w:pPr>
              <w:spacing w:before="180" w:after="40"/>
            </w:pPr>
            <w:r>
              <w:rPr>
                <w:rFonts w:ascii="Times New Roman" w:hAnsi="Times New Roman" w:eastAsia="바탕"/>
                <w:b/>
                <w:sz w:val="23"/>
              </w:rPr>
              <w:t>3.4 문장을 누르면 그 문장을 읽는다</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before="180" w:after="40"/>
            </w:pPr>
            <w:r>
              <w:rPr>
                <w:rFonts w:ascii="Times New Roman" w:hAnsi="Times New Roman" w:eastAsia="바탕"/>
                <w:b/>
                <w:sz w:val="23"/>
              </w:rPr>
              <w:t>3.5 색만으로 판정하지 않는다</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우리가 대상으로 삼는 지역에서 이 위험은 북유럽보다 </w:t>
            </w:r>
            <w:r>
              <w:rPr>
                <w:rFonts w:ascii="Times New Roman" w:hAnsi="Times New Roman" w:eastAsia="바탕"/>
                <w:b/>
                <w:sz w:val="20"/>
              </w:rPr>
              <w:t>작다.</w:t>
            </w:r>
            <w:r>
              <w:rPr>
                <w:rFonts w:ascii="Times New Roman" w:hAnsi="Times New Roman" w:eastAsia="바탕"/>
                <w:sz w:val="20"/>
              </w:rPr>
              <w:t xml:space="preserve">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9]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ConvNeXt-tiny-224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 — 출처를 가리지 않는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 xml:space="preserve">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w:t>
            </w:r>
            <w:r>
              <w:rPr>
                <w:rFonts w:ascii="Times New Roman" w:hAnsi="Times New Roman" w:eastAsia="바탕"/>
                <w:b/>
                <w:sz w:val="20"/>
              </w:rPr>
              <w:t>다른 두 경로와 똑같은 물리 검사를 통과한 뒤에만</w:t>
            </w:r>
            <w:r>
              <w:rPr>
                <w:rFonts w:ascii="Times New Roman" w:hAnsi="Times New Roman" w:eastAsia="바탕"/>
                <w:sz w:val="20"/>
              </w:rPr>
              <w:t xml:space="preserve"> 화면에 나간다.</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 제약이 선택지를 지운 과정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11의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80" w:after="40"/>
            </w:pPr>
            <w:r>
              <w:rPr>
                <w:rFonts w:ascii="Times New Roman" w:hAnsi="Times New Roman" w:eastAsia="바탕"/>
                <w:b/>
                <w:sz w:val="23"/>
              </w:rPr>
              <w:t>4.4 종이 서식 — 화면 없는 설정 경로</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수행하며, 네 귀퉁이의 ArUco 마커로 서식을 정렬한다.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b/>
                <w:sz w:val="20"/>
              </w:rPr>
              <w:t>판정 API 를 가로채지 않는 것</w:t>
            </w:r>
            <w:r>
              <w:rPr>
                <w:rFonts w:ascii="Times New Roman" w:hAnsi="Times New Roman" w:eastAsia="바탕"/>
                <w:sz w:val="20"/>
              </w:rPr>
              <w:t>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b/>
                <w:sz w:val="20"/>
              </w:rPr>
              <w:t>모델과 OCR 자산을 캐시 우선에 넣은 것</w:t>
            </w:r>
            <w:r>
              <w:rPr>
                <w:rFonts w:ascii="Times New Roman" w:hAnsi="Times New Roman" w:eastAsia="바탕"/>
                <w:sz w:val="20"/>
              </w:rPr>
              <w:t>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 xml:space="preserve">그러면서도 이 자산들을 </w:t>
            </w:r>
            <w:r>
              <w:rPr>
                <w:rFonts w:ascii="Times New Roman" w:hAnsi="Times New Roman" w:eastAsia="바탕"/>
                <w:b/>
                <w:sz w:val="20"/>
              </w:rPr>
              <w:t>미리 받아 두지 않는다.</w:t>
            </w:r>
            <w:r>
              <w:rPr>
                <w:rFonts w:ascii="Times New Roman" w:hAnsi="Times New Roman" w:eastAsia="바탕"/>
                <w:sz w:val="20"/>
              </w:rPr>
              <w:t xml:space="preserve">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w:t>
            </w:r>
            <w:r>
              <w:rPr>
                <w:rFonts w:ascii="Times New Roman" w:hAnsi="Times New Roman" w:eastAsia="바탕"/>
                <w:b/>
                <w:sz w:val="20"/>
              </w:rPr>
              <w:t>그림을 교체해도 주소가 변하지 않으며</w:t>
            </w:r>
            <w:r>
              <w:rPr>
                <w:rFonts w:ascii="Times New Roman" w:hAnsi="Times New Roman" w:eastAsia="바탕"/>
                <w:sz w:val="20"/>
              </w:rPr>
              <w:t xml:space="preserve">,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12]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펌웨어를 하나의 저장소에서 관리한다. 웹 앱은 한국 팀의 두 명이, 하드웨어 펌웨어와 영양 추정 모델은 김도훈이, 3D 출력과 기구 설계는 몰도바 팀이 담당했다. 대회 조직의 GitHub 조직으로 이관하여 최종 제출한다.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정보가 화면에 도달하는가</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[표 13]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[표 14]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3313522"/>
                  <wp:docPr id="15" name="Picture 15"/>
                  <wp:cNvGraphicFramePr>
                    <a:graphicFrameLocks noChangeAspect="1"/>
                  </wp:cNvGraphicFramePr>
                  <a:graphic>
                    <a:graphicData uri="http://schemas.openxmlformats.org/drawingml/2006/picture">
                      <pic:pic>
                        <pic:nvPicPr>
                          <pic:cNvPr id="0" name="chart06_formative.png"/>
                          <pic:cNvPicPr/>
                        </pic:nvPicPr>
                        <pic:blipFill>
                          <a:blip r:embed="rId29"/>
                          <a:stretch>
                            <a:fillRect/>
                          </a:stretch>
                        </pic:blipFill>
                        <pic:spPr>
                          <a:xfrm>
                            <a:off x="0" y="0"/>
                            <a:ext cx="5486400" cy="33135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 배포 전에 재는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15]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검사에서 떨어진 그림을 어떻게 다시 뽑는가</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전체에 적용한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16]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126609"/>
                  <wp:docPr id="16" name="Picture 16"/>
                  <wp:cNvGraphicFramePr>
                    <a:graphicFrameLocks noChangeAspect="1"/>
                  </wp:cNvGraphicFramePr>
                  <a:graphic>
                    <a:graphicData uri="http://schemas.openxmlformats.org/drawingml/2006/picture">
                      <pic:pic>
                        <pic:nvPicPr>
                          <pic:cNvPr id="0" name="chart07_glyph_check.png"/>
                          <pic:cNvPicPr/>
                        </pic:nvPicPr>
                        <pic:blipFill>
                          <a:blip r:embed="rId30"/>
                          <a:stretch>
                            <a:fillRect/>
                          </a:stretch>
                        </pic:blipFill>
                        <pic:spPr>
                          <a:xfrm>
                            <a:off x="0" y="0"/>
                            <a:ext cx="5486400" cy="212660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17]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고칠 수 없다고 판정한 것</w:t>
            </w:r>
          </w:p>
          <w:p>
            <w:pPr>
              <w:spacing w:after="80" w:line="276" w:lineRule="auto"/>
              <w:jc w:val="both"/>
            </w:pPr>
            <w:r>
              <w:rPr>
                <w:rFonts w:ascii="Times New Roman" w:hAnsi="Times New Roman" w:eastAsia="바탕"/>
                <w:sz w:val="20"/>
              </w:rPr>
              <w:t>재작업을 시도했으나 개선되지 않은 네 종이 있다. 이들은 성격이 앞의 일곱과 다르다.</w:t>
            </w:r>
          </w:p>
          <w:p>
            <w:pPr>
              <w:spacing w:after="80" w:line="276" w:lineRule="auto"/>
              <w:jc w:val="both"/>
            </w:pPr>
            <w:r>
              <w:rPr>
                <w:rFonts w:ascii="Times New Roman" w:hAnsi="Times New Roman" w:eastAsia="바탕"/>
                <w:sz w:val="20"/>
              </w:rPr>
              <w:t>[표 18]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bl>
          <w:p/>
          <w:p>
            <w:pPr>
              <w:spacing w:after="120"/>
            </w:pPr>
          </w:p>
          <w:p>
            <w:pPr>
              <w:spacing w:after="80" w:line="276" w:lineRule="auto"/>
              <w:jc w:val="both"/>
            </w:pPr>
            <w:r>
              <w:rPr>
                <w:rFonts w:ascii="Times New Roman" w:hAnsi="Times New Roman" w:eastAsia="바탕"/>
                <w:sz w:val="20"/>
              </w:rPr>
              <w:t xml:space="preserve">이 넷을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넷은 개념 자체가 단독 실루엣으로 성립하지 않는다.</w:t>
            </w:r>
          </w:p>
          <w:p>
            <w:pPr>
              <w:spacing w:before="180" w:after="40"/>
            </w:pPr>
            <w:r>
              <w:rPr>
                <w:rFonts w:ascii="Times New Roman" w:hAnsi="Times New Roman" w:eastAsia="바탕"/>
                <w:b/>
                <w:sz w:val="23"/>
              </w:rPr>
              <w:t>5.4 이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19]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5.6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20]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5.7 아직 검증되지 않은 것</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5.8 향후 계획</w:t>
            </w:r>
          </w:p>
          <w:p>
            <w:pPr>
              <w:spacing w:after="80" w:line="276" w:lineRule="auto"/>
              <w:jc w:val="both"/>
            </w:pPr>
            <w:r>
              <w:rPr>
                <w:rFonts w:ascii="Times New Roman" w:hAnsi="Times New Roman" w:eastAsia="바탕"/>
                <w:sz w:val="20"/>
              </w:rPr>
              <w:t>[표 21]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§5.7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