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사람이 스스로 약을 먹고 음식을 고를 수 있게 하는 것을 목적으로 한다. 대상은 저문해 성인과 고령자이며,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기기 안에서 이루어져 인터넷 없이도 동작한다.</w:t>
            </w:r>
          </w:p>
          <w:p>
            <w:pPr>
              <w:spacing w:after="80" w:line="276" w:lineRule="auto"/>
              <w:jc w:val="both"/>
            </w:pPr>
            <w:r>
              <w:rPr>
                <w:rFonts w:ascii="Times New Roman" w:hAnsi="Times New Roman" w:eastAsia="바탕"/>
                <w:sz w:val="20"/>
              </w:rPr>
              <w:t>이 문제의 크기는 다음과 같다. 전 세계 성인 7억 3,900만 명이 기초 문해 능력을 갖추지 못했고, 성인 문해율이 28%인 나라가 있다. 그러나 이것은 특정 지역의 문제로 좁혀지지 않는다. 문해력을 직접 측정하면 선진 31개국에서도 성인의 18%가 가장 기초적인 수준에 미치지 못하며, 약으로 인한 위해의 상당 부분이 병원 안이 아니라 환자가 집에서 약을 꺼내 드는 순간에 일어난다. SnapCare 는 그 마지막 한 걸음에 개입한다.</w:t>
            </w:r>
          </w:p>
          <w:p>
            <w:pPr>
              <w:spacing w:after="80" w:line="276" w:lineRule="auto"/>
              <w:jc w:val="both"/>
            </w:pPr>
            <w:r>
              <w:rPr>
                <w:rFonts w:ascii="Times New Roman" w:hAnsi="Times New Roman" w:eastAsia="바탕"/>
                <w:sz w:val="20"/>
              </w:rPr>
              <w:t>기존 접근과 갈리는 지점은 두 가지다. 첫째, 픽토그램을 미리 그려 둔 목록에서 고르지 않고 문법으로 합성한다. 가장 널리 쓰이는 표준인 미국약전 세트는 81종이 고정되어 있고 라이선스가 조합을 금지하므로, "하루 세 번, 식후, 냉장 보관" 같은 하나의 지시를 하나의 그림으로 만들 수 없다. SIGIL 은 형태소 78종과 연산자 다섯 개로 이것을 합성한다. 둘째, 만든 그림이 실제로 읽히는지를 배포 전에 자동으로 잰다. 그림은 만들었다고 읽히는 것이 아니며, 잘못 읽힌 그림은 그림이 없는 것보다 나쁘다.</w:t>
            </w:r>
          </w:p>
          <w:p>
            <w:pPr>
              <w:spacing w:after="80" w:line="276" w:lineRule="auto"/>
              <w:jc w:val="both"/>
            </w:pPr>
            <w:r>
              <w:rPr>
                <w:rFonts w:ascii="Times New Roman" w:hAnsi="Times New Roman" w:eastAsia="바탕"/>
                <w:sz w:val="20"/>
              </w:rPr>
              <w:t>측정한 것과 측정하지 않은 것을 함께 밝힌다. 표본 처방전과 사용자 조건을 조합한 28회 시행에서 여섯 항목이 모두 전달된 경우가 수정 전 0건에서 27건이 되었고(§5.1), 형태소 78종을 배포 전에 검사해 54종이 의도대로, 24종이 다르게 읽히는 것을 찾아 고쳤으며(§5.2), 영양 추정 모델을 Nutrition5k 공식 테스트 507접시로 직접 채점해 평균 오차 26.75%를 얻었다(§5.5). 이 셋은 모두 정보가 화면에 도달하는지를 잰 것이며, 그것이 사람에게 읽히는지는 아직 사람에게 묻지 않았다(§5.8).</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(§5.9).</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88%와의 거리가 이 그림의 논지다.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것이 이 그림의 논지다.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§5.8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앞의 둘은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전제가 하나 더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5" name="Picture 5"/>
                  <wp:cNvGraphicFramePr>
                    <a:graphicFrameLocks noChangeAspect="1"/>
                  </wp:cNvGraphicFramePr>
                  <a:graphic>
                    <a:graphicData uri="http://schemas.openxmlformats.org/drawingml/2006/picture">
                      <pic:pic>
                        <pic:nvPicPr>
                          <pic:cNvPr id="0" name="chart04_smartphone.png"/>
                          <pic:cNvPicPr/>
                        </pic:nvPicPr>
                        <pic:blipFill>
                          <a:blip r:embed="rId1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§5.8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확인되었고 (Dowse et al., 2023: </w:t>
            </w:r>
            <w:r>
              <w:rPr>
                <w:rFonts w:ascii="Times New Roman" w:hAnsi="Times New Roman" w:eastAsia="바탕"/>
                <w:i/>
                <w:sz w:val="20"/>
              </w:rPr>
              <w:t>p</w:t>
            </w:r>
            <w:r>
              <w:rPr>
                <w:rFonts w:ascii="Times New Roman" w:hAnsi="Times New Roman" w:eastAsia="바탕"/>
                <w:sz w:val="20"/>
              </w:rPr>
              <w:t xml:space="preserve"> = 0.002),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정리하면 이 분야는 두 가지를 함께 관찰해 왔다. 잘 만든 그림은 실제로 오류를 줄인다(Yin 등, 2008: 47.8% → 5.4%). 그리고 만들었다고 해서 잘 만들어지는 것은 아니다(Gutierrez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60" w:after="60"/>
              <w:jc w:val="center"/>
            </w:pPr>
            <w:r>
              <w:drawing>
                <wp:inline xmlns:a="http://schemas.openxmlformats.org/drawingml/2006/main" xmlns:pic="http://schemas.openxmlformats.org/drawingml/2006/picture">
                  <wp:extent cx="5486400" cy="3108960"/>
                  <wp:docPr id="6" name="Picture 6"/>
                  <wp:cNvGraphicFramePr>
                    <a:graphicFrameLocks noChangeAspect="1"/>
                  </wp:cNvGraphicFramePr>
                  <a:graphic>
                    <a:graphicData uri="http://schemas.openxmlformats.org/drawingml/2006/picture">
                      <pic:pic>
                        <pic:nvPicPr>
                          <pic:cNvPr id="0" name="chart05_pictogram_pass.png"/>
                          <pic:cNvPicPr/>
                        </pic:nvPicPr>
                        <pic:blipFill>
                          <a:blip r:embed="rId20"/>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픽토그램을 변형하거나 USP 가 만들지 않은 심볼과 함께 쓰는 것을 USP 의 허락 없이는 금지한다 (U.S. Pharmacopeia, </w:t>
            </w:r>
            <w:r>
              <w:rPr>
                <w:rFonts w:ascii="Times New Roman" w:hAnsi="Times New Roman" w:eastAsia="바탕"/>
                <w:i/>
                <w:sz w:val="20"/>
              </w:rPr>
              <w:t>USP Pictogram Library License Agreement</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같은 라이선스에 한 조항이 더 있다. 픽토그램을 환자에게 정보를 전달하는 유일한 수단으로 쓰지 말 것. 표준을 만든 쪽이 그림 하나로는 부족하다고 적어 둔 것이며, 이는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(§5.9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4)은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7" name="Picture 7"/>
                  <wp:cNvGraphicFramePr>
                    <a:graphicFrameLocks noChangeAspect="1"/>
                  </wp:cNvGraphicFramePr>
                  <a:graphic>
                    <a:graphicData uri="http://schemas.openxmlformats.org/drawingml/2006/picture">
                      <pic:pic>
                        <pic:nvPicPr>
                          <pic:cNvPr id="0" name="fig01_home.png"/>
                          <pic:cNvPicPr/>
                        </pic:nvPicPr>
                        <pic:blipFill>
                          <a:blip r:embed="rId21"/>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§5.9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8" name="Picture 8"/>
                  <wp:cNvGraphicFramePr>
                    <a:graphicFrameLocks noChangeAspect="1"/>
                  </wp:cNvGraphicFramePr>
                  <a:graphic>
                    <a:graphicData uri="http://schemas.openxmlformats.org/drawingml/2006/picture">
                      <pic:pic>
                        <pic:nvPicPr>
                          <pic:cNvPr id="0" name="fig02_sigil_sheet.png"/>
                          <pic:cNvPicPr/>
                        </pic:nvPicPr>
                        <pic:blipFill>
                          <a:blip r:embed="rId22"/>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9" name="Picture 9"/>
                  <wp:cNvGraphicFramePr>
                    <a:graphicFrameLocks noChangeAspect="1"/>
                  </wp:cNvGraphicFramePr>
                  <a:graphic>
                    <a:graphicData uri="http://schemas.openxmlformats.org/drawingml/2006/picture">
                      <pic:pic>
                        <pic:nvPicPr>
                          <pic:cNvPr id="0" name="fig03_dsl.png"/>
                          <pic:cNvPicPr/>
                        </pic:nvPicPr>
                        <pic:blipFill>
                          <a:blip r:embed="rId23"/>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10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9]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10]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10" name="Picture 10"/>
                  <wp:cNvGraphicFramePr>
                    <a:graphicFrameLocks noChangeAspect="1"/>
                  </wp:cNvGraphicFramePr>
                  <a:graphic>
                    <a:graphicData uri="http://schemas.openxmlformats.org/drawingml/2006/picture">
                      <pic:pic>
                        <pic:nvPicPr>
                          <pic:cNvPr id="0" name="panelA_flow.png"/>
                          <pic:cNvPicPr/>
                        </pic:nvPicPr>
                        <pic:blipFill>
                          <a:blip r:embed="rId24"/>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1" name="Picture 11"/>
                  <wp:cNvGraphicFramePr>
                    <a:graphicFrameLocks noChangeAspect="1"/>
                  </wp:cNvGraphicFramePr>
                  <a:graphic>
                    <a:graphicData uri="http://schemas.openxmlformats.org/drawingml/2006/picture">
                      <pic:pic>
                        <pic:nvPicPr>
                          <pic:cNvPr id="0" name="panelB_nutrition.png"/>
                          <pic:cNvPicPr/>
                        </pic:nvPicPr>
                        <pic:blipFill>
                          <a:blip r:embed="rId25"/>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실시간시계(DS3231)로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2" name="Picture 12"/>
                  <wp:cNvGraphicFramePr>
                    <a:graphicFrameLocks noChangeAspect="1"/>
                  </wp:cNvGraphicFramePr>
                  <a:graphic>
                    <a:graphicData uri="http://schemas.openxmlformats.org/drawingml/2006/picture">
                      <pic:pic>
                        <pic:nvPicPr>
                          <pic:cNvPr id="0" name="fig10_dispenser.png"/>
                          <pic:cNvPicPr/>
                        </pic:nvPicPr>
                        <pic:blipFill>
                          <a:blip r:embed="rId26"/>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13" name="Picture 13"/>
                  <wp:cNvGraphicFramePr>
                    <a:graphicFrameLocks noChangeAspect="1"/>
                  </wp:cNvGraphicFramePr>
                  <a:graphic>
                    <a:graphicData uri="http://schemas.openxmlformats.org/drawingml/2006/picture">
                      <pic:pic>
                        <pic:nvPicPr>
                          <pic:cNvPr id="0" name="fig11_userflow.png"/>
                          <pic:cNvPicPr/>
                        </pic:nvPicPr>
                        <pic:blipFill>
                          <a:blip r:embed="rId27"/>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11]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11의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§5.8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14" name="Picture 14"/>
                  <wp:cNvGraphicFramePr>
                    <a:graphicFrameLocks noChangeAspect="1"/>
                  </wp:cNvGraphicFramePr>
                  <a:graphic>
                    <a:graphicData uri="http://schemas.openxmlformats.org/drawingml/2006/picture">
                      <pic:pic>
                        <pic:nvPicPr>
                          <pic:cNvPr id="0" name="panelC_onboarding.png"/>
                          <pic:cNvPicPr/>
                        </pic:nvPicPr>
                        <pic:blipFill>
                          <a:blip r:embed="rId28"/>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12]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13]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14]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10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15]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16]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줄마다 듣기 표시</w:t>
                  </w:r>
                </w:p>
              </w:tc>
              <w:tc>
                <w:tcPr>
                  <w:tcW w:type="dxa" w:w="3238"/>
                </w:tcPr>
                <w:p>
                  <w:r>
                    <w:rPr>
                      <w:rFonts w:ascii="Times New Roman" w:hAnsi="Times New Roman" w:eastAsia="바탕"/>
                      <w:sz w:val="18"/>
                    </w:rPr>
                    <w:t>누르는 대상은 줄 전체, 표시는 그 자리에 소리가 있다는 안내</w:t>
                  </w:r>
                </w:p>
              </w:tc>
              <w:tc>
                <w:tcPr>
                  <w:tcW w:type="dxa" w:w="3238"/>
                </w:tcPr>
                <w:p>
                  <w:r>
                    <w:rPr>
                      <w:rFonts w:ascii="Times New Roman" w:hAnsi="Times New Roman" w:eastAsia="바탕"/>
                      <w:sz w:val="18"/>
                    </w:rPr>
                    <w:t>떨리는 손으로 작은 원을 정조준하게 하지 않는다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듣기 버튼의 크기는 44픽셀로 두었다. 손끝이 화면에 닿는 면적이 대략 그만큼이고, 그보다 작으면 조준을 요구하게 된다.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17]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#15A34A</w:t>
                  </w:r>
                </w:p>
              </w:tc>
              <w:tc>
                <w:tcPr>
                  <w:tcW w:type="dxa" w:w="2429"/>
                </w:tcPr>
                <w:p>
                  <w:r>
                    <w:rPr>
                      <w:rFonts w:ascii="Times New Roman" w:hAnsi="Times New Roman" w:eastAsia="바탕"/>
                      <w:sz w:val="18"/>
                    </w:rPr>
                    <w:t xml:space="preserve">주황 </w:t>
                  </w:r>
                  <w:r>
                    <w:rPr>
                      <w:rFonts w:ascii="Consolas" w:hAnsi="Consolas" w:eastAsia="Consolas"/>
                      <w:sz w:val="17"/>
                    </w:rPr>
                    <w:t>#DE8500</w:t>
                  </w:r>
                </w:p>
              </w:tc>
              <w:tc>
                <w:tcPr>
                  <w:tcW w:type="dxa" w:w="2429"/>
                </w:tcPr>
                <w:p>
                  <w:r>
                    <w:rPr>
                      <w:rFonts w:ascii="Times New Roman" w:hAnsi="Times New Roman" w:eastAsia="바탕"/>
                      <w:sz w:val="18"/>
                    </w:rPr>
                    <w:t xml:space="preserve">빨강 </w:t>
                  </w:r>
                  <w:r>
                    <w:rPr>
                      <w:rFonts w:ascii="Consolas" w:hAnsi="Consolas" w:eastAsia="Consolas"/>
                      <w:sz w:val="17"/>
                    </w:rPr>
                    <w:t>#DC2626</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이 이 자리에서 하는 일이다.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18]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DS3231</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19]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한 가지 대가를 적어 둔다.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20]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21]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21의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21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DS3231 이 안다. 릴레이가 멎었든, 닿지 않든, 아예 설정되지 않았든 누구의 복용도 놓치지 않는다. 표 21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 판독은 팀에서 만든 OpenCV 파서가 수행한다.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22]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22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이유가 여기 있다.</w:t>
            </w:r>
          </w:p>
          <w:p>
            <w:pPr>
              <w:spacing w:before="160" w:after="60"/>
              <w:jc w:val="center"/>
            </w:pPr>
            <w:r>
              <w:drawing>
                <wp:inline xmlns:a="http://schemas.openxmlformats.org/drawingml/2006/main" xmlns:pic="http://schemas.openxmlformats.org/drawingml/2006/picture">
                  <wp:extent cx="5486400" cy="3135086"/>
                  <wp:docPr id="15" name="Picture 15"/>
                  <wp:cNvGraphicFramePr>
                    <a:graphicFrameLocks noChangeAspect="1"/>
                  </wp:cNvGraphicFramePr>
                  <a:graphic>
                    <a:graphicData uri="http://schemas.openxmlformats.org/drawingml/2006/picture">
                      <pic:pic>
                        <pic:nvPicPr>
                          <pic:cNvPr id="0" name="fig14_formsheet.png"/>
                          <pic:cNvPicPr/>
                        </pic:nvPicPr>
                        <pic:blipFill>
                          <a:blip r:embed="rId29"/>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23]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24]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25]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11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것이나(§5.8),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26]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27]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16" name="Picture 16"/>
                  <wp:cNvGraphicFramePr>
                    <a:graphicFrameLocks noChangeAspect="1"/>
                  </wp:cNvGraphicFramePr>
                  <a:graphic>
                    <a:graphicData uri="http://schemas.openxmlformats.org/drawingml/2006/picture">
                      <pic:pic>
                        <pic:nvPicPr>
                          <pic:cNvPr id="0" name="chart06_formative.png"/>
                          <pic:cNvPicPr/>
                        </pic:nvPicPr>
                        <pic:blipFill>
                          <a:blip r:embed="rId3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28]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29]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17" name="Picture 17"/>
                  <wp:cNvGraphicFramePr>
                    <a:graphicFrameLocks noChangeAspect="1"/>
                  </wp:cNvGraphicFramePr>
                  <a:graphic>
                    <a:graphicData uri="http://schemas.openxmlformats.org/drawingml/2006/picture">
                      <pic:pic>
                        <pic:nvPicPr>
                          <pic:cNvPr id="0" name="chart07_glyph_check.png"/>
                          <pic:cNvPicPr/>
                        </pic:nvPicPr>
                        <pic:blipFill>
                          <a:blip r:embed="rId3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30]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31]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32]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18" name="Picture 18"/>
                  <wp:cNvGraphicFramePr>
                    <a:graphicFrameLocks noChangeAspect="1"/>
                  </wp:cNvGraphicFramePr>
                  <a:graphic>
                    <a:graphicData uri="http://schemas.openxmlformats.org/drawingml/2006/picture">
                      <pic:pic>
                        <pic:nvPicPr>
                          <pic:cNvPr id="0" name="chart08_model_mae.png"/>
                          <pic:cNvPicPr/>
                        </pic:nvPicPr>
                        <pic:blipFill>
                          <a:blip r:embed="rId3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33]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34]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(§5.8).</w:t>
            </w:r>
          </w:p>
          <w:p>
            <w:pPr>
              <w:spacing w:before="180" w:after="40"/>
            </w:pPr>
            <w:r>
              <w:rPr>
                <w:rFonts w:ascii="Times New Roman" w:hAnsi="Times New Roman" w:eastAsia="바탕"/>
                <w:b/>
                <w:sz w:val="23"/>
              </w:rPr>
              <w:t>5.7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35]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정확히 그 자리다.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5.8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before="180" w:after="40"/>
            </w:pPr>
            <w:r>
              <w:rPr>
                <w:rFonts w:ascii="Times New Roman" w:hAnsi="Times New Roman" w:eastAsia="바탕"/>
                <w:b/>
                <w:sz w:val="23"/>
              </w:rPr>
              <w:t>5.9 향후 계획</w:t>
            </w:r>
          </w:p>
          <w:p>
            <w:pPr>
              <w:spacing w:after="80" w:line="276" w:lineRule="auto"/>
              <w:jc w:val="both"/>
            </w:pPr>
            <w:r>
              <w:rPr>
                <w:rFonts w:ascii="Times New Roman" w:hAnsi="Times New Roman" w:eastAsia="바탕"/>
                <w:sz w:val="20"/>
              </w:rPr>
              <w:t>[표 36]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서비스 문서 작성 후 전문가 자문 요청</w:t>
                  </w:r>
                </w:p>
              </w:tc>
              <w:tc>
                <w:tcPr>
                  <w:tcW w:type="dxa" w:w="3238"/>
                </w:tcPr>
                <w:p>
                  <w:r>
                    <w:rPr>
                      <w:rFonts w:ascii="Times New Roman" w:hAnsi="Times New Roman" w:eastAsia="바탕"/>
                      <w:sz w:val="18"/>
                    </w:rPr>
                    <w:t>전문가는 서비스를 사용해 보고 문서를 함께 읽은 뒤 의견을 준다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§5.8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네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이유가 여기 있고,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있다는 점도 적어 둔다.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