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six entries to the other's five, and not shortening it is this chapter's method. The last row on the right is the heaviest: that the centre of gravity of harm sits at the prescribing stage names the place this app does not intervene, and §1.4 records why we chose the patient stage even so. The reason for setting the evidence out this way is that collecting only the favourable half would mean doing to the literature what §5.2 refuses to do to the morphemes.</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5" name="Picture 45"/>
                  <wp:cNvGraphicFramePr>
                    <a:graphicFrameLocks noChangeAspect="1"/>
                  </wp:cNvGraphicFramePr>
                  <a:graphic>
                    <a:graphicData uri="http://schemas.openxmlformats.org/drawingml/2006/picture">
                      <pic:pic>
                        <pic:nvPicPr>
                          <pic:cNvPr id="0" name="chart14_amr_region.png"/>
                          <pic:cNvPicPr/>
                        </pic:nvPicPr>
                        <pic:blipFill>
                          <a:blip r:embed="rId59"/>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