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 모델은 ONNX 로 내보내 브라우저에서 실행하며, 16 MB 로 서비스워커가 캐시한다 (§4.5).</w:t>
            </w:r>
          </w:p>
          <w:p>
            <w:pPr>
              <w:spacing w:after="80" w:line="276" w:lineRule="auto"/>
              <w:jc w:val="both"/>
            </w:pPr>
            <w:r>
              <w:rPr>
                <w:rFonts w:ascii="Times New Roman" w:hAnsi="Times New Roman" w:eastAsia="바탕"/>
                <w:sz w:val="20"/>
              </w:rPr>
              <w:t>이 모델의 정확도를 본 제안서에 수치로 싣지 않는다. 평가 절차(</w:t>
            </w:r>
            <w:r>
              <w:rPr>
                <w:rFonts w:ascii="Consolas" w:hAnsi="Consolas" w:eastAsia="Consolas"/>
                <w:sz w:val="19"/>
              </w:rPr>
              <w:t>nutrition_manager/eval.py</w:t>
            </w:r>
            <w:r>
              <w:rPr>
                <w:rFonts w:ascii="Times New Roman" w:hAnsi="Times New Roman" w:eastAsia="바탕"/>
                <w:sz w:val="20"/>
              </w:rPr>
              <w:t xml:space="preserve">)는 항목별 MAE 와 MAE% 를 내도록 작성되어 있으나 그 결과를 우리 손으로 재현해 확인하지 못했으며, 확인하지 못한 값을 제안서에 적지 않는다는 것이 이 문서 전체의 원칙이다(§5.7). </w:t>
            </w:r>
            <w:r>
              <w:rPr>
                <w:rFonts w:ascii="Times New Roman" w:hAnsi="Times New Roman" w:eastAsia="바탕"/>
                <w:b/>
                <w:sz w:val="20"/>
              </w:rPr>
              <w:t>따라서 이 경로의 값은 정확도를 근거로 신뢰되는 것이 아니라, 아래의 물리 검사를 통과했다는 것을 근거로만 쓰인다.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