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 completion, quantity, timing and prohibition — and those four are where the errors concentrate in Table 4 of §1.3.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in §5.2 and redrew </w:t>
            </w:r>
            <w:r>
              <w:rPr>
                <w:rFonts w:ascii="Consolas" w:hAnsi="Consolas" w:eastAsia="Consolas"/>
                <w:sz w:val="19"/>
              </w:rPr>
              <w:t>hand_wash</w:t>
            </w:r>
            <w:r>
              <w:rPr>
                <w:rFonts w:ascii="Times New Roman" w:hAnsi="Times New Roman" w:eastAsia="바탕"/>
                <w:sz w:val="20"/>
              </w:rPr>
              <w:t>, one of the two responses in §5.7 that actually changed a picture.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The countries in Table 1 of §1.1, however, have neither that barcode nor that digitisation. That is where this app is aimed, and the fact does not refute the response — the range in which the response is right and the range in which we stand are simply different.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