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 (남윤수)</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 · Natalia SCHIȚCO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 (김도훈)</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adult literacy rate rose from 86% in 2015 to 88% in 2024, so on the numbers alone the situation is improving (UNESCO, 2025).</w:t>
            </w:r>
          </w:p>
          <w:p>
            <w:pPr>
              <w:spacing w:after="80" w:line="276" w:lineRule="auto"/>
              <w:jc w:val="both"/>
            </w:pPr>
            <w:r>
              <w:rPr>
                <w:rFonts w:ascii="Times New Roman" w:hAnsi="Times New Roman" w:eastAsia="바탕"/>
                <w:sz w:val="20"/>
              </w:rPr>
              <w:t>There are regions, however, where the improvement in the rate has not kept pace with population growth. In sub-Saharan Africa the literacy rate rose from 65% to 69% over the same period, yet the absolute number of non-literate adults grew from 196 million to 225 million (UNESCO, 2025). Central and Southern Asia follows with 347 million, the second largest total after sub-Saharan Africa (UNESCO, 2025). More than half of all non-literate adults, 441 million people, are concentrated in ten countries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Averages hide the size of the problem. The fifteen countries with the lowest adult literacy rates fall between 29% and 60%, and Chad stands at 28%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[Table 1] Countries with low adult literacy rates (2015–2024 census round,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[Table 2] The ten countries with the most non-literate adults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while among men in parts of Europe and North America it is 99% (UNESCO, 2025).</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and adult literacy in these countries has stagnated or declined since 2012 (UNESCO, 2025, citing PIAAC).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Based on 155 dispensing errors found by pharmacists (Anacleto et al.,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et al.,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In 2017 the World Health Organization declared Medication Without Harm as its third Global Patient Safety Challenge, setting a goal of reducing severe avoidable medication-related harm by 50% within five years (WHO, 2017). It identified three priority areas: high-risk situations, polypharmacy and transitions of care (WHO,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(WHO,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(WHO,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eight of the eleven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11th ed., 2025). Three in four adults with diabetes live in low- and middle-income countries. The figure is projected to reach 853 million (13%) by 2050, and in 2024 alone diabetes caused 3.4 million deaths, one every nine seconds (IDF,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2025). Prescriptions and nutrition labels are printed in a country's official language or in English, so among those counted as "able to read" in literacy statistics there are people who cannot read the paper in front of them. Pictures and speech step over both layers at once.</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[Table 5] Smartphone ownership by age group (United States,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 And the share of that age group with adequate health literacy is 40.3% (Korea Disease Control and Prevention Agency,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et al.,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et al.,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To summarise, this field has observed three things together. Well-made pictures do in fact reduce errors (Yin et al., 2008: 47.8% to 5.4%). Pictures work better with speech than alone (Kheir et al., 2014). And making them does not mean making them well (Gutierrez et al.,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First, scale. There are 739 million non-literate adults, and in some regions the absolute number is rising (UNESCO, 2025). Applying a health literacy criterion widens the target further. Health literacy is not sufficient for 39.6% of Korean adults and 59.7% of those aged 65 and over (Korea Disease Control and Prevention Agency, 2023).</w:t>
            </w:r>
          </w:p>
          <w:p>
            <w:pPr>
              <w:spacing w:after="80" w:line="276" w:lineRule="auto"/>
              <w:jc w:val="both"/>
            </w:pPr>
            <w:r>
              <w:rPr>
                <w:rFonts w:ascii="Times New Roman" w:hAnsi="Times New Roman" w:eastAsia="바탕"/>
                <w:sz w:val="20"/>
              </w:rPr>
              <w:t xml:space="preserve">Second, cost. Medication errors generate 42 billion dollars a year in costs (WHO,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Third, the effect and the limits of visual methods. Pictures are remembered better than text (Houts et al., 2006), yet of 108 pharmaceutical pictograms actually produced only 17 passed the ANSI criterion (Gutierrez et al.,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Fifth, an open delivery channel. Seventy-eight percent of United States adults aged 65 and over already own a smartphone (Pew Research Center,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et al., 2022), and a hierarchy is itself a barrier (Medhi et al., 2013).</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As established in the previous section, about 43% of adults with diabetes do not know they have it (IDF,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"What are you allergic to" split into three. The width of the three boxes is the argument. The first two exist so that the people who cannot answer the third are not filtered out at the first screen.</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SnapCare's user flow is built on the principle of running from a single photograph to a verdict without branching. As cited in the previous section, a deep hierarchy takes non-literate users 65.5 seconds on average against 25 seconds for a flat list (Medhi et al., 2013).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Showing the percentage rather than hiding it is deliberate. One of the barriers identified in research on low-literate users is intimidation (Medhi, Cutrell &amp; Toyama,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29 July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41</w:t>
                  </w:r>
                </w:p>
              </w:tc>
              <w:tc>
                <w:tcPr>
                  <w:tcW w:type="dxa" w:w="2429"/>
                </w:tcPr>
                <w:p>
                  <w:r>
                    <w:rPr>
                      <w:rFonts w:ascii="Times New Roman" w:hAnsi="Times New Roman" w:eastAsia="바탕"/>
                      <w:sz w:val="18"/>
                    </w:rPr>
                    <w:t>5,439</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68</w:t>
                  </w:r>
                </w:p>
              </w:tc>
              <w:tc>
                <w:tcPr>
                  <w:tcW w:type="dxa" w:w="2429"/>
                </w:tcPr>
                <w:p>
                  <w:r>
                    <w:rPr>
                      <w:rFonts w:ascii="Times New Roman" w:hAnsi="Times New Roman" w:eastAsia="바탕"/>
                      <w:sz w:val="18"/>
                    </w:rPr>
                    <w:t>7,143</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13,934</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109</w:t>
                  </w:r>
                </w:p>
              </w:tc>
              <w:tc>
                <w:tcPr>
                  <w:tcW w:type="dxa" w:w="2429"/>
                </w:tcPr>
                <w:p>
                  <w:r>
                    <w:rPr>
                      <w:rFonts w:ascii="Times New Roman" w:hAnsi="Times New Roman" w:eastAsia="바탕"/>
                      <w:sz w:val="18"/>
                    </w:rPr>
                    <w:t>22,032</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59,083</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43</w:t>
                  </w:r>
                </w:p>
              </w:tc>
              <w:tc>
                <w:tcPr>
                  <w:tcW w:type="dxa" w:w="2429"/>
                </w:tcPr>
                <w:p>
                  <w:r>
                    <w:rPr>
                      <w:rFonts w:ascii="Times New Roman" w:hAnsi="Times New Roman" w:eastAsia="바탕"/>
                      <w:sz w:val="18"/>
                    </w:rPr>
                    <w:t>43,700</w:t>
                  </w:r>
                </w:p>
              </w:tc>
              <w:tc>
                <w:tcPr>
                  <w:tcW w:type="dxa" w:w="2429"/>
                </w:tcPr>
                <w:p>
                  <w:r>
                    <w:rPr>
                      <w:rFonts w:ascii="Times New Roman" w:hAnsi="Times New Roman" w:eastAsia="바탕"/>
                      <w:sz w:val="18"/>
                    </w:rPr>
                    <w:t>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Kind</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What it needs</w:t>
                  </w:r>
                </w:p>
              </w:tc>
            </w:tr>
            <w:tr>
              <w:tc>
                <w:tcPr>
                  <w:tcW w:type="dxa" w:w="3238"/>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3238"/>
                </w:tcPr>
                <w:p>
                  <w:r>
                    <w:rPr>
                      <w:rFonts w:ascii="Times New Roman" w:hAnsi="Times New Roman" w:eastAsia="바탕"/>
                      <w:sz w:val="18"/>
                    </w:rPr>
                    <w:t>174</w:t>
                  </w:r>
                </w:p>
              </w:tc>
              <w:tc>
                <w:tcPr>
                  <w:tcW w:type="dxa" w:w="3238"/>
                </w:tcPr>
                <w:p>
                  <w:r>
                    <w:rPr>
                      <w:rFonts w:ascii="Times New Roman" w:hAnsi="Times New Roman" w:eastAsia="바탕"/>
                      <w:sz w:val="18"/>
                    </w:rPr>
                    <w:t>Node only</w:t>
                  </w:r>
                </w:p>
              </w:tc>
            </w:tr>
            <w:tr>
              <w:tc>
                <w:tcPr>
                  <w:tcW w:type="dxa" w:w="3238"/>
                </w:tcPr>
                <w:p>
                  <w:r>
                    <w:rPr>
                      <w:rFonts w:ascii="Times New Roman" w:hAnsi="Times New Roman" w:eastAsia="바탕"/>
                      <w:sz w:val="18"/>
                    </w:rPr>
                    <w:t>Paper form and scheduling (</w:t>
                  </w:r>
                  <w:r>
                    <w:rPr>
                      <w:rFonts w:ascii="Consolas" w:hAnsi="Consolas" w:eastAsia="Consolas"/>
                      <w:sz w:val="17"/>
                    </w:rPr>
                    <w:t>pytest</w:t>
                  </w:r>
                  <w:r>
                    <w:rPr>
                      <w:rFonts w:ascii="Times New Roman" w:hAnsi="Times New Roman" w:eastAsia="바탕"/>
                      <w:sz w:val="18"/>
                    </w:rPr>
                    <w:t>)</w:t>
                  </w:r>
                </w:p>
              </w:tc>
              <w:tc>
                <w:tcPr>
                  <w:tcW w:type="dxa" w:w="3238"/>
                </w:tcPr>
                <w:p>
                  <w:r>
                    <w:rPr>
                      <w:rFonts w:ascii="Times New Roman" w:hAnsi="Times New Roman" w:eastAsia="바탕"/>
                      <w:sz w:val="18"/>
                    </w:rPr>
                    <w:t>105</w:t>
                  </w:r>
                </w:p>
              </w:tc>
              <w:tc>
                <w:tcPr>
                  <w:tcW w:type="dxa" w:w="3238"/>
                </w:tcPr>
                <w:p>
                  <w:r>
                    <w:rPr>
                      <w:rFonts w:ascii="Times New Roman" w:hAnsi="Times New Roman" w:eastAsia="바탕"/>
                      <w:sz w:val="18"/>
                    </w:rPr>
                    <w:t>OpenCV</w:t>
                  </w:r>
                </w:p>
              </w:tc>
            </w:tr>
            <w:tr>
              <w:tc>
                <w:tcPr>
                  <w:tcW w:type="dxa" w:w="3238"/>
                </w:tcPr>
                <w:p>
                  <w:r>
                    <w:rPr>
                      <w:rFonts w:ascii="Times New Roman" w:hAnsi="Times New Roman" w:eastAsia="바탕"/>
                      <w:sz w:val="18"/>
                    </w:rPr>
                    <w:t>Firmware protocol and scheduler</w:t>
                  </w:r>
                </w:p>
              </w:tc>
              <w:tc>
                <w:tcPr>
                  <w:tcW w:type="dxa" w:w="3238"/>
                </w:tcPr>
                <w:p>
                  <w:r>
                    <w:rPr>
                      <w:rFonts w:ascii="Times New Roman" w:hAnsi="Times New Roman" w:eastAsia="바탕"/>
                      <w:sz w:val="18"/>
                    </w:rPr>
                    <w:t>Host build</w:t>
                  </w:r>
                </w:p>
              </w:tc>
              <w:tc>
                <w:tcPr>
                  <w:tcW w:type="dxa" w:w="3238"/>
                </w:tcPr>
                <w:p>
                  <w:r>
                    <w:rPr>
                      <w:rFonts w:ascii="Times New Roman" w:hAnsi="Times New Roman" w:eastAsia="바탕"/>
                      <w:sz w:val="18"/>
                    </w:rPr>
                    <w:t>A C++ compiler only</w:t>
                  </w:r>
                </w:p>
              </w:tc>
            </w:tr>
          </w:tbl>
          <w:p/>
          <w:p>
            <w:pPr>
              <w:spacing w:after="120"/>
            </w:pP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11 days 194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As established in §1.8, making a pictogram does not mean it will be read. Of 108 international standard pictograms, only 17 passed the ANSI 85% criterion (Gutierrez et al.,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34 people had answered: 3.1% of those contacted, with 93 free-text responses alongside.</w:t>
            </w:r>
          </w:p>
          <w:p>
            <w:pPr>
              <w:spacing w:after="80" w:line="276" w:lineRule="auto"/>
              <w:jc w:val="both"/>
            </w:pPr>
            <w:r>
              <w:rPr>
                <w:rFonts w:ascii="Times New Roman" w:hAnsi="Times New Roman" w:eastAsia="바탕"/>
                <w:sz w:val="20"/>
              </w:rPr>
              <w:t>[Table 40] Composition of respondents (n = 34)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11</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34 respondents. Field on the left, continent on the right. Pharmacy and nursing account for two thirds at 20 people, and these two are the centre of the five segments we judged qualified to view the demonstration and rule on patient comprehension. That Asia accounts for 24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19 countries across five continents, with 16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34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(11)</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Forty-four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16</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8 of 11 answered that a pharmacist should review the instructions this app produces every time, with 3 answering that once at the start is enough. As to where it belongs, 6 chose a tool supporting the pharmacist's explanation, 3 a means for the patient to check alone at home, and 2 an alternative route for patients a pharmacist cannot reach. As to what must not be wrong medically, 6 named dose and frequency and 3 named contraindications and interactions.</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16 / 24</w:t>
                  </w:r>
                </w:p>
              </w:tc>
              <w:tc>
                <w:tcPr>
                  <w:tcW w:type="dxa" w:w="2429"/>
                </w:tcPr>
                <w:p>
                  <w:r>
                    <w:rPr>
                      <w:rFonts w:ascii="Times New Roman" w:hAnsi="Times New Roman" w:eastAsia="바탕"/>
                      <w:sz w:val="18"/>
                    </w:rPr>
                    <w:t>66.7%</w:t>
                  </w:r>
                </w:p>
              </w:tc>
              <w:tc>
                <w:tcPr>
                  <w:tcW w:type="dxa" w:w="2429"/>
                </w:tcPr>
                <w:p>
                  <w:r>
                    <w:rPr>
                      <w:rFonts w:ascii="Times New Roman" w:hAnsi="Times New Roman" w:eastAsia="바탕"/>
                      <w:sz w:val="18"/>
                    </w:rPr>
                    <w:t>46.7% – 82.0%</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24</w:t>
                  </w:r>
                </w:p>
              </w:tc>
              <w:tc>
                <w:tcPr>
                  <w:tcW w:type="dxa" w:w="2429"/>
                </w:tcPr>
                <w:p>
                  <w:r>
                    <w:rPr>
                      <w:rFonts w:ascii="Times New Roman" w:hAnsi="Times New Roman" w:eastAsia="바탕"/>
                      <w:sz w:val="18"/>
                    </w:rPr>
                    <w:t>29.2%</w:t>
                  </w:r>
                </w:p>
              </w:tc>
              <w:tc>
                <w:tcPr>
                  <w:tcW w:type="dxa" w:w="2429"/>
                </w:tcPr>
                <w:p>
                  <w:r>
                    <w:rPr>
                      <w:rFonts w:ascii="Times New Roman" w:hAnsi="Times New Roman" w:eastAsia="바탕"/>
                      <w:sz w:val="18"/>
                    </w:rPr>
                    <w:t>14.9% – 49.2%</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24</w:t>
                  </w:r>
                </w:p>
              </w:tc>
              <w:tc>
                <w:tcPr>
                  <w:tcW w:type="dxa" w:w="2429"/>
                </w:tcPr>
                <w:p>
                  <w:r>
                    <w:rPr>
                      <w:rFonts w:ascii="Times New Roman" w:hAnsi="Times New Roman" w:eastAsia="바탕"/>
                      <w:sz w:val="18"/>
                    </w:rPr>
                    <w:t>4.2%</w:t>
                  </w:r>
                </w:p>
              </w:tc>
              <w:tc>
                <w:tcPr>
                  <w:tcW w:type="dxa" w:w="2429"/>
                </w:tcPr>
                <w:p>
                  <w:r>
                    <w:rPr>
                      <w:rFonts w:ascii="Times New Roman" w:hAnsi="Times New Roman" w:eastAsia="바탕"/>
                      <w:sz w:val="18"/>
                    </w:rPr>
                    <w:t>0.7% – 20.2%</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24</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13.8%</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24). The dot is the proportion, the line is the interval. The width of the intervals is the size of this sample, and what to read in this figure is the length of the lines rather than the position of the dots. Even with zero "No" answers, the interval reaches 13.8%.</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13.8%, and as many as three in 24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5/20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0.552</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4/11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34/1,062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0.634</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0/10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0.019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0.034</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0.717</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Only the last row exceeds it, and that says people who stayed longer wrote more, which is not a finding about content. In other words, nothing in this survey supports a claim of difference between groups. Dropping the non-significant tests and reporting only the significant one would be the worst thing that could be done with this sample, so everything that was run is recorded.</w:t>
            </w:r>
          </w:p>
          <w:p>
            <w:pPr>
              <w:spacing w:after="80" w:line="276" w:lineRule="auto"/>
              <w:jc w:val="both"/>
            </w:pPr>
            <w:r>
              <w:rPr>
                <w:rFonts w:ascii="Times New Roman" w:hAnsi="Times New Roman" w:eastAsia="바탕"/>
                <w:sz w:val="20"/>
              </w:rPr>
              <w:t>The fourth and fifth rows are interesting but are not made into claims. That not one of the ten who answered in Korean answered "possible" while half of the fourteen who answered in English did, and that Korean respondents stayed far more briefly than English respondents, are significant before correction and not after. And language is entangled with the respondent's country and occupation, so even if a difference exists, this data cannot separate whether it is due to language or to something else.</w:t>
            </w:r>
          </w:p>
          <w:p>
            <w:pPr>
              <w:spacing w:after="80" w:line="276" w:lineRule="auto"/>
              <w:jc w:val="both"/>
            </w:pPr>
            <w:r>
              <w:rPr>
                <w:rFonts w:ascii="Times New Roman" w:hAnsi="Times New Roman" w:eastAsia="바탕"/>
                <w:sz w:val="20"/>
              </w:rPr>
              <w:t>The sixth row is worth reading on its own. A rank correlation of 0.717 between time taken and free-text volume means that people who stayed longer did in fact write more, and it can serve as a proxy for the care taken over a response. The median time taken is 10.3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29 of the 34 respondents, 113 items in all. Counting by keyword how many people independently raised the same point gives 6 on the absence of validation, 5 on too many elements in one image, 5 on blind users, 4 on the prohibition marking and 3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We tested only with printed samples.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8 of the 11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Myojung Choi, researcher at the Korea Disabled People's Development Institute, cited Nielsen and Landauer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(11)</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1" name="Picture 41"/>
                  <wp:cNvGraphicFramePr>
                    <a:graphicFrameLocks noChangeAspect="1"/>
                  </wp:cNvGraphicFramePr>
                  <a:graphic>
                    <a:graphicData uri="http://schemas.openxmlformats.org/drawingml/2006/picture">
                      <pic:pic>
                        <pic:nvPicPr>
                          <pic:cNvPr id="0" name="chart18_field_answers.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What the 11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Nine of the eleven pharmacy respondents answered that there are things which must not be conveyed by picture and speech alone: contraindications and interactions for 4,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311.</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Thirty-four of 1,103 answered, and those who answered are people with an interest in the subject. The judgement of the 1,069 who did not answer is unknown.</w:t>
            </w:r>
          </w:p>
          <w:p>
            <w:pPr>
              <w:spacing w:after="80" w:line="276" w:lineRule="auto"/>
              <w:jc w:val="both"/>
            </w:pPr>
            <w:r>
              <w:rPr>
                <w:rFonts w:ascii="Times New Roman" w:hAnsi="Times New Roman" w:eastAsia="바탕"/>
                <w:sz w:val="20"/>
              </w:rPr>
              <w:t>The denominators are small. The largest segment, pharmacy, is 11 people. Written as a percentage, one person moves 9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34, 29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all 34 were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(WHO GLASS, 2025). In 2019, deaths directly attributable to bacterial resistance numbered 1.27 million, more than HIV/AIDS or malaria (Murray et al.,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Broken down by region, this problem too is concentrated where we are aimed. In South-East Asia and the Eastern Mediterranean one in three reported infections showed resistance, in Africa one in five and in the Americas one in seven (WHO GLASS, 2025). The regions with the lowest literacy in §1.1 appear here again.</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Share of reported bacterial infections showing antibiotic resistance (WHO GLASS,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4_amr_region.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Second, cultural adaptation has not been verified. In the controlled comparison showing two sets to the same 46 people, 20 of 23 locally made pictograms passed the ANSI criterion while USP-DI managed 11 of 23 (Dowse &amp; Ehlers,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34.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113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11</w:t>
                  </w:r>
                </w:p>
              </w:tc>
              <w:tc>
                <w:tcPr>
                  <w:tcW w:type="dxa" w:w="3238"/>
                </w:tcPr>
                <w:p>
                  <w:r>
                    <w:rPr>
                      <w:rFonts w:ascii="Times New Roman" w:hAnsi="Times New Roman" w:eastAsia="바탕"/>
                      <w:sz w:val="18"/>
                    </w:rPr>
                    <w:t>32%</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14</w:t>
                  </w:r>
                </w:p>
              </w:tc>
              <w:tc>
                <w:tcPr>
                  <w:tcW w:type="dxa" w:w="3238"/>
                </w:tcPr>
                <w:p>
                  <w:r>
                    <w:rPr>
                      <w:rFonts w:ascii="Times New Roman" w:hAnsi="Times New Roman" w:eastAsia="바탕"/>
                      <w:sz w:val="18"/>
                    </w:rPr>
                    <w:t>41%</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12%</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29%</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55%</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27%</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73%</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9%</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