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200 samples drawn at fixed intervals from 5,578 handwritten drug names cut from real Bangladeshi prescriptions (RxHandBD, Zenodo 18478741, MIT licence). Bangladesh is the country of respondent Aliya Naheed, Senior Scientist. The result: read exactly, 47%; off by a character or two, 26%; read as something else entirely, 26%.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At a threshold of 0.4, 44% survive and only 74% of those are correct; at 0.6, 4% survive. No threshold satisfies accuracy and coverage together, so treating all handwriting without confidence, as the app now does, is the only honest choice left. One thing is reassuring: not one of the 200 was wrong while carrying confidence of 0.8 or higher. The model does say it cannot read what it cannot read.</w:t>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How 200 handwritten drug names were read, and why confidence cannot filter them. The right panel is the design basis: the share surviving (grey) and the accuracy of the survivors (blue) move in opposite directions, so no threshold satisfies both, and all handwriting is therefore handled without confidence.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From 200 Bangladeshi prescription pages annotated with the number of drug-name regions (Mendeley k62rfd23kz, CC BY 4.0), 60 were drawn at fixed intervals and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the same 60 pages were measured again. Recognition as a prescription rose from 81.7% to 98.3%, recall of the medicine count from 89.7% to 91.0%, all 60 were flagged handwritten, and no page had an invented schedule. Opening the 4 pages that carried one showed each was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The same 60 pages measured before and after the fix. The gap in the left pair is the 11 truncated replies. A caveat belongs beside it: the two values must not be multiplied together. The 91% recall is a count, not letter accuracy; letter accuracy is the 47% of Figure 41. Different sample, different task.</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345.</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