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people who find it hard to take medicine as directed can take it and choose their food on their own: people carrying a load on executive function (attention deficit hyperactivity disorder, burnout, lack of sleep), people with damage to memory or movement (Alzheimer's disease, Parkinson's disease), people for whom reading itself is blocked (non-literacy, dyslexia), and older adults and people with low vision. Its design standard is set at the harshest of those conditions, the one in which the instruction never arrives at all because it cannot be read (739 million adults worldwide, and 18% of adults even across 31 developed countries), because a screen that holds under that condition holds under the others while the reverse does not follow.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b/>
                <w:sz w:val="20"/>
              </w:rPr>
              <w:t>Contents</w:t>
            </w:r>
          </w:p>
          <w:p>
            <w:pPr>
              <w:spacing w:after="80" w:line="276" w:lineRule="auto"/>
              <w:jc w:val="both"/>
            </w:pPr>
            <w:r>
              <w:rPr>
                <w:rFonts w:ascii="Times New Roman" w:hAnsi="Times New Roman" w:eastAsia="바탕"/>
                <w:sz w:val="20"/>
              </w:rPr>
              <w:t>No page numbers are given; sections are found by their number.</w:t>
            </w:r>
          </w:p>
          <w:p>
            <w:pPr>
              <w:spacing w:after="80" w:line="276" w:lineRule="auto"/>
              <w:jc w:val="both"/>
            </w:pPr>
            <w:r>
              <w:rPr>
                <w:rFonts w:ascii="Times New Roman" w:hAnsi="Times New Roman" w:eastAsia="바탕"/>
                <w:b/>
                <w:sz w:val="20"/>
              </w:rPr>
              <w:t>Contents</w:t>
            </w:r>
          </w:p>
          <w:p>
            <w:pPr>
              <w:spacing w:after="80" w:line="276" w:lineRule="auto"/>
              <w:jc w:val="both"/>
            </w:pPr>
            <w:r>
              <w:rPr>
                <w:rFonts w:ascii="Times New Roman" w:hAnsi="Times New Roman" w:eastAsia="바탕"/>
                <w:b/>
                <w:sz w:val="20"/>
              </w:rPr>
              <w:t>Problem Statement and Background</w:t>
            </w:r>
          </w:p>
          <w:p>
            <w:pPr>
              <w:spacing w:after="80" w:line="276" w:lineRule="auto"/>
              <w:jc w:val="both"/>
            </w:pPr>
            <w:r>
              <w:rPr>
                <w:rFonts w:ascii="Times New Roman" w:hAnsi="Times New Roman" w:eastAsia="바탕"/>
                <w:sz w:val="20"/>
              </w:rPr>
              <w:t>1.1  The size and trend of the non-literate population</w:t>
            </w:r>
          </w:p>
          <w:p>
            <w:pPr>
              <w:spacing w:after="80" w:line="276" w:lineRule="auto"/>
              <w:jc w:val="both"/>
            </w:pPr>
            <w:r>
              <w:rPr>
                <w:rFonts w:ascii="Times New Roman" w:hAnsi="Times New Roman" w:eastAsia="바탕"/>
                <w:sz w:val="20"/>
              </w:rPr>
              <w:t>1.2  The distribution of health literacy</w:t>
            </w:r>
          </w:p>
          <w:p>
            <w:pPr>
              <w:spacing w:after="80" w:line="276" w:lineRule="auto"/>
              <w:jc w:val="both"/>
            </w:pPr>
            <w:r>
              <w:rPr>
                <w:rFonts w:ascii="Times New Roman" w:hAnsi="Times New Roman" w:eastAsia="바탕"/>
                <w:sz w:val="20"/>
              </w:rPr>
              <w:t>1.3  The types of medication error and what they cost</w:t>
            </w:r>
          </w:p>
          <w:p>
            <w:pPr>
              <w:spacing w:after="80" w:line="276" w:lineRule="auto"/>
              <w:jc w:val="both"/>
            </w:pPr>
            <w:r>
              <w:rPr>
                <w:rFonts w:ascii="Times New Roman" w:hAnsi="Times New Roman" w:eastAsia="바탕"/>
                <w:sz w:val="20"/>
              </w:rPr>
              <w:t>1.4  International policy and its blind spot</w:t>
            </w:r>
          </w:p>
          <w:p>
            <w:pPr>
              <w:spacing w:after="80" w:line="276" w:lineRule="auto"/>
              <w:jc w:val="both"/>
            </w:pPr>
            <w:r>
              <w:rPr>
                <w:rFonts w:ascii="Times New Roman" w:hAnsi="Times New Roman" w:eastAsia="바탕"/>
                <w:sz w:val="20"/>
              </w:rPr>
              <w:t>1.5  The undiagnosed population as a precondition</w:t>
            </w:r>
          </w:p>
          <w:p>
            <w:pPr>
              <w:spacing w:after="80" w:line="276" w:lineRule="auto"/>
              <w:jc w:val="both"/>
            </w:pPr>
            <w:r>
              <w:rPr>
                <w:rFonts w:ascii="Times New Roman" w:hAnsi="Times New Roman" w:eastAsia="바탕"/>
                <w:sz w:val="20"/>
              </w:rPr>
              <w:t>1.6  How widely the delivery medium has spread</w:t>
            </w:r>
          </w:p>
          <w:p>
            <w:pPr>
              <w:spacing w:after="80" w:line="276" w:lineRule="auto"/>
              <w:jc w:val="both"/>
            </w:pPr>
            <w:r>
              <w:rPr>
                <w:rFonts w:ascii="Times New Roman" w:hAnsi="Times New Roman" w:eastAsia="바탕"/>
                <w:sz w:val="20"/>
              </w:rPr>
              <w:t>1.7  The scale of population ageing and its geographic shift</w:t>
            </w:r>
          </w:p>
          <w:p>
            <w:pPr>
              <w:spacing w:after="80" w:line="276" w:lineRule="auto"/>
              <w:jc w:val="both"/>
            </w:pPr>
            <w:r>
              <w:rPr>
                <w:rFonts w:ascii="Times New Roman" w:hAnsi="Times New Roman" w:eastAsia="바탕"/>
                <w:sz w:val="20"/>
              </w:rPr>
              <w:t>1.8  The effect and the limits of visual delivery</w:t>
            </w:r>
          </w:p>
          <w:p>
            <w:pPr>
              <w:spacing w:after="80" w:line="276" w:lineRule="auto"/>
              <w:jc w:val="both"/>
            </w:pPr>
            <w:r>
              <w:rPr>
                <w:rFonts w:ascii="Times New Roman" w:hAnsi="Times New Roman" w:eastAsia="바탕"/>
                <w:sz w:val="20"/>
              </w:rPr>
              <w:t>1.9  Structural constraints of the existing pictogram standard</w:t>
            </w:r>
          </w:p>
          <w:p>
            <w:pPr>
              <w:spacing w:after="80" w:line="276" w:lineRule="auto"/>
              <w:jc w:val="both"/>
            </w:pPr>
            <w:r>
              <w:rPr>
                <w:rFonts w:ascii="Times New Roman" w:hAnsi="Times New Roman" w:eastAsia="바탕"/>
                <w:sz w:val="20"/>
              </w:rPr>
              <w:t>1.10  Prior work on interfaces for low-literate users</w:t>
            </w:r>
          </w:p>
          <w:p>
            <w:pPr>
              <w:spacing w:after="80" w:line="276" w:lineRule="auto"/>
              <w:jc w:val="both"/>
            </w:pPr>
            <w:r>
              <w:rPr>
                <w:rFonts w:ascii="Times New Roman" w:hAnsi="Times New Roman" w:eastAsia="바탕"/>
                <w:sz w:val="20"/>
              </w:rPr>
              <w:t>1.11  The problem in summary</w:t>
            </w:r>
          </w:p>
          <w:p>
            <w:pPr>
              <w:spacing w:after="80" w:line="276" w:lineRule="auto"/>
              <w:jc w:val="both"/>
            </w:pPr>
            <w:r>
              <w:rPr>
                <w:rFonts w:ascii="Times New Roman" w:hAnsi="Times New Roman" w:eastAsia="바탕"/>
                <w:sz w:val="20"/>
              </w:rPr>
              <w:t>1.12  How this problem looks in our own two countries</w:t>
            </w:r>
          </w:p>
          <w:p>
            <w:pPr>
              <w:spacing w:after="80" w:line="276" w:lineRule="auto"/>
              <w:jc w:val="both"/>
            </w:pPr>
            <w:r>
              <w:rPr>
                <w:rFonts w:ascii="Times New Roman" w:hAnsi="Times New Roman" w:eastAsia="바탕"/>
                <w:sz w:val="20"/>
              </w:rPr>
              <w:t>1.13  The range of the target and the design standard</w:t>
            </w:r>
          </w:p>
          <w:p>
            <w:pPr>
              <w:spacing w:after="80" w:line="276" w:lineRule="auto"/>
              <w:jc w:val="both"/>
            </w:pPr>
            <w:r>
              <w:rPr>
                <w:rFonts w:ascii="Times New Roman" w:hAnsi="Times New Roman" w:eastAsia="바탕"/>
                <w:b/>
                <w:sz w:val="20"/>
              </w:rPr>
              <w:t>Solution and Main Functions</w:t>
            </w:r>
          </w:p>
          <w:p>
            <w:pPr>
              <w:spacing w:after="80" w:line="276" w:lineRule="auto"/>
              <w:jc w:val="both"/>
            </w:pPr>
            <w:r>
              <w:rPr>
                <w:rFonts w:ascii="Times New Roman" w:hAnsi="Times New Roman" w:eastAsia="바탕"/>
                <w:sz w:val="20"/>
              </w:rPr>
              <w:t>2.1  Design principle</w:t>
            </w:r>
          </w:p>
          <w:p>
            <w:pPr>
              <w:spacing w:after="80" w:line="276" w:lineRule="auto"/>
              <w:jc w:val="both"/>
            </w:pPr>
            <w:r>
              <w:rPr>
                <w:rFonts w:ascii="Times New Roman" w:hAnsi="Times New Roman" w:eastAsia="바탕"/>
                <w:sz w:val="20"/>
              </w:rPr>
              <w:t>2.2  SIGIL, the pictogram composition engine</w:t>
            </w:r>
          </w:p>
          <w:p>
            <w:pPr>
              <w:spacing w:after="80" w:line="276" w:lineRule="auto"/>
              <w:jc w:val="both"/>
            </w:pPr>
            <w:r>
              <w:rPr>
                <w:rFonts w:ascii="Times New Roman" w:hAnsi="Times New Roman" w:eastAsia="바탕"/>
                <w:sz w:val="20"/>
              </w:rPr>
              <w:t>2.3  VOCA, the spoken instruction engine</w:t>
            </w:r>
          </w:p>
          <w:p>
            <w:pPr>
              <w:spacing w:after="80" w:line="276" w:lineRule="auto"/>
              <w:jc w:val="both"/>
            </w:pPr>
            <w:r>
              <w:rPr>
                <w:rFonts w:ascii="Times New Roman" w:hAnsi="Times New Roman" w:eastAsia="바탕"/>
                <w:sz w:val="20"/>
              </w:rPr>
              <w:t>2.4  Deriving a per-person verdict threshold</w:t>
            </w:r>
          </w:p>
          <w:p>
            <w:pPr>
              <w:spacing w:after="80" w:line="276" w:lineRule="auto"/>
              <w:jc w:val="both"/>
            </w:pPr>
            <w:r>
              <w:rPr>
                <w:rFonts w:ascii="Times New Roman" w:hAnsi="Times New Roman" w:eastAsia="바탕"/>
                <w:sz w:val="20"/>
              </w:rPr>
              <w:t>2.5  Collecting conditions and inferring allergies</w:t>
            </w:r>
          </w:p>
          <w:p>
            <w:pPr>
              <w:spacing w:after="80" w:line="276" w:lineRule="auto"/>
              <w:jc w:val="both"/>
            </w:pPr>
            <w:r>
              <w:rPr>
                <w:rFonts w:ascii="Times New Roman" w:hAnsi="Times New Roman" w:eastAsia="바탕"/>
                <w:sz w:val="20"/>
              </w:rPr>
              <w:t>2.6  How this differs from existing approaches</w:t>
            </w:r>
          </w:p>
          <w:p>
            <w:pPr>
              <w:spacing w:after="80" w:line="276" w:lineRule="auto"/>
              <w:jc w:val="both"/>
            </w:pPr>
            <w:r>
              <w:rPr>
                <w:rFonts w:ascii="Times New Roman" w:hAnsi="Times New Roman" w:eastAsia="바탕"/>
                <w:sz w:val="20"/>
              </w:rPr>
              <w:t>2.7  The three core functions</w:t>
            </w:r>
          </w:p>
          <w:p>
            <w:pPr>
              <w:spacing w:after="80" w:line="276" w:lineRule="auto"/>
              <w:jc w:val="both"/>
            </w:pPr>
            <w:r>
              <w:rPr>
                <w:rFonts w:ascii="Times New Roman" w:hAnsi="Times New Roman" w:eastAsia="바탕"/>
                <w:b/>
                <w:sz w:val="20"/>
              </w:rPr>
              <w:t>User Flow of the Web App</w:t>
            </w:r>
          </w:p>
          <w:p>
            <w:pPr>
              <w:spacing w:after="80" w:line="276" w:lineRule="auto"/>
              <w:jc w:val="both"/>
            </w:pPr>
            <w:r>
              <w:rPr>
                <w:rFonts w:ascii="Times New Roman" w:hAnsi="Times New Roman" w:eastAsia="바탕"/>
                <w:sz w:val="20"/>
              </w:rPr>
              <w:t>3.1  The overall flow</w:t>
            </w:r>
          </w:p>
          <w:p>
            <w:pPr>
              <w:spacing w:after="80" w:line="276" w:lineRule="auto"/>
              <w:jc w:val="both"/>
            </w:pPr>
            <w:r>
              <w:rPr>
                <w:rFonts w:ascii="Times New Roman" w:hAnsi="Times New Roman" w:eastAsia="바탕"/>
                <w:sz w:val="20"/>
              </w:rPr>
              <w:t>3.2  First run and profile setup</w:t>
            </w:r>
          </w:p>
          <w:p>
            <w:pPr>
              <w:spacing w:after="80" w:line="276" w:lineRule="auto"/>
              <w:jc w:val="both"/>
            </w:pPr>
            <w:r>
              <w:rPr>
                <w:rFonts w:ascii="Times New Roman" w:hAnsi="Times New Roman" w:eastAsia="바탕"/>
                <w:sz w:val="20"/>
              </w:rPr>
              <w:t>3.3  From capture to verdict</w:t>
            </w:r>
          </w:p>
          <w:p>
            <w:pPr>
              <w:spacing w:after="80" w:line="276" w:lineRule="auto"/>
              <w:jc w:val="both"/>
            </w:pPr>
            <w:r>
              <w:rPr>
                <w:rFonts w:ascii="Times New Roman" w:hAnsi="Times New Roman" w:eastAsia="바탕"/>
                <w:sz w:val="20"/>
              </w:rPr>
              <w:t>3.4  The path when recognition fails</w:t>
            </w:r>
          </w:p>
          <w:p>
            <w:pPr>
              <w:spacing w:after="80" w:line="276" w:lineRule="auto"/>
              <w:jc w:val="both"/>
            </w:pPr>
            <w:r>
              <w:rPr>
                <w:rFonts w:ascii="Times New Roman" w:hAnsi="Times New Roman" w:eastAsia="바탕"/>
                <w:sz w:val="20"/>
              </w:rPr>
              <w:t>3.5  Routes to the audio</w:t>
            </w:r>
          </w:p>
          <w:p>
            <w:pPr>
              <w:spacing w:after="80" w:line="276" w:lineRule="auto"/>
              <w:jc w:val="both"/>
            </w:pPr>
            <w:r>
              <w:rPr>
                <w:rFonts w:ascii="Times New Roman" w:hAnsi="Times New Roman" w:eastAsia="바탕"/>
                <w:sz w:val="20"/>
              </w:rPr>
              <w:t>3.6  Sharing a device and separating household members</w:t>
            </w:r>
          </w:p>
          <w:p>
            <w:pPr>
              <w:spacing w:after="80" w:line="276" w:lineRule="auto"/>
              <w:jc w:val="both"/>
            </w:pPr>
            <w:r>
              <w:rPr>
                <w:rFonts w:ascii="Times New Roman" w:hAnsi="Times New Roman" w:eastAsia="바탕"/>
                <w:sz w:val="20"/>
              </w:rPr>
              <w:t>3.7  Channels other than colour</w:t>
            </w:r>
          </w:p>
          <w:p>
            <w:pPr>
              <w:spacing w:after="80" w:line="276" w:lineRule="auto"/>
              <w:jc w:val="both"/>
            </w:pPr>
            <w:r>
              <w:rPr>
                <w:rFonts w:ascii="Times New Roman" w:hAnsi="Times New Roman" w:eastAsia="바탕"/>
                <w:sz w:val="20"/>
              </w:rPr>
              <w:t>3.8  Checking that it was understood</w:t>
            </w:r>
          </w:p>
          <w:p>
            <w:pPr>
              <w:spacing w:after="80" w:line="276" w:lineRule="auto"/>
              <w:jc w:val="both"/>
            </w:pPr>
            <w:r>
              <w:rPr>
                <w:rFonts w:ascii="Times New Roman" w:hAnsi="Times New Roman" w:eastAsia="바탕"/>
                <w:sz w:val="20"/>
              </w:rPr>
              <w:t>3.9  Medication routine and the last four weeks</w:t>
            </w:r>
          </w:p>
          <w:p>
            <w:pPr>
              <w:spacing w:after="80" w:line="276" w:lineRule="auto"/>
              <w:jc w:val="both"/>
            </w:pPr>
            <w:r>
              <w:rPr>
                <w:rFonts w:ascii="Times New Roman" w:hAnsi="Times New Roman" w:eastAsia="바탕"/>
                <w:b/>
                <w:sz w:val="20"/>
              </w:rPr>
              <w:t>Development and Implementation</w:t>
            </w:r>
          </w:p>
          <w:p>
            <w:pPr>
              <w:spacing w:after="80" w:line="276" w:lineRule="auto"/>
              <w:jc w:val="both"/>
            </w:pPr>
            <w:r>
              <w:rPr>
                <w:rFonts w:ascii="Times New Roman" w:hAnsi="Times New Roman" w:eastAsia="바탕"/>
                <w:sz w:val="20"/>
              </w:rPr>
              <w:t>4.1  Overview of the stack</w:t>
            </w:r>
          </w:p>
          <w:p>
            <w:pPr>
              <w:spacing w:after="80" w:line="276" w:lineRule="auto"/>
              <w:jc w:val="both"/>
            </w:pPr>
            <w:r>
              <w:rPr>
                <w:rFonts w:ascii="Times New Roman" w:hAnsi="Times New Roman" w:eastAsia="바탕"/>
                <w:sz w:val="20"/>
              </w:rPr>
              <w:t>4.2  Physical checks in the verdict engine</w:t>
            </w:r>
          </w:p>
          <w:p>
            <w:pPr>
              <w:spacing w:after="80" w:line="276" w:lineRule="auto"/>
              <w:jc w:val="both"/>
            </w:pPr>
            <w:r>
              <w:rPr>
                <w:rFonts w:ascii="Times New Roman" w:hAnsi="Times New Roman" w:eastAsia="바탕"/>
                <w:sz w:val="20"/>
              </w:rPr>
              <w:t>4.3  Choosing the hardware link</w:t>
            </w:r>
          </w:p>
          <w:p>
            <w:pPr>
              <w:spacing w:after="80" w:line="276" w:lineRule="auto"/>
              <w:jc w:val="both"/>
            </w:pPr>
            <w:r>
              <w:rPr>
                <w:rFonts w:ascii="Times New Roman" w:hAnsi="Times New Roman" w:eastAsia="바탕"/>
                <w:sz w:val="20"/>
              </w:rPr>
              <w:t>4.4  Reading the paper form</w:t>
            </w:r>
          </w:p>
          <w:p>
            <w:pPr>
              <w:spacing w:after="80" w:line="276" w:lineRule="auto"/>
              <w:jc w:val="both"/>
            </w:pPr>
            <w:r>
              <w:rPr>
                <w:rFonts w:ascii="Times New Roman" w:hAnsi="Times New Roman" w:eastAsia="바탕"/>
                <w:sz w:val="20"/>
              </w:rPr>
              <w:t>4.5  Offline operation</w:t>
            </w:r>
          </w:p>
          <w:p>
            <w:pPr>
              <w:spacing w:after="80" w:line="276" w:lineRule="auto"/>
              <w:jc w:val="both"/>
            </w:pPr>
            <w:r>
              <w:rPr>
                <w:rFonts w:ascii="Times New Roman" w:hAnsi="Times New Roman" w:eastAsia="바탕"/>
                <w:sz w:val="20"/>
              </w:rPr>
              <w:t>4.6  Privacy</w:t>
            </w:r>
          </w:p>
          <w:p>
            <w:pPr>
              <w:spacing w:after="80" w:line="276" w:lineRule="auto"/>
              <w:jc w:val="both"/>
            </w:pPr>
            <w:r>
              <w:rPr>
                <w:rFonts w:ascii="Times New Roman" w:hAnsi="Times New Roman" w:eastAsia="바탕"/>
                <w:sz w:val="20"/>
              </w:rPr>
              <w:t>4.7  The repository and how the team worked</w:t>
            </w:r>
          </w:p>
          <w:p>
            <w:pPr>
              <w:spacing w:after="80" w:line="276" w:lineRule="auto"/>
              <w:jc w:val="both"/>
            </w:pPr>
            <w:r>
              <w:rPr>
                <w:rFonts w:ascii="Times New Roman" w:hAnsi="Times New Roman" w:eastAsia="바탕"/>
                <w:b/>
                <w:sz w:val="20"/>
              </w:rPr>
              <w:t>Results and Expected Impact (SDG 3 Contribution)</w:t>
            </w:r>
          </w:p>
          <w:p>
            <w:pPr>
              <w:spacing w:after="80" w:line="276" w:lineRule="auto"/>
              <w:jc w:val="both"/>
            </w:pPr>
            <w:r>
              <w:rPr>
                <w:rFonts w:ascii="Times New Roman" w:hAnsi="Times New Roman" w:eastAsia="바탕"/>
                <w:sz w:val="20"/>
              </w:rPr>
              <w:t>5.1  Formative evaluation: whether the information arrives</w:t>
            </w:r>
          </w:p>
          <w:p>
            <w:pPr>
              <w:spacing w:after="80" w:line="276" w:lineRule="auto"/>
              <w:jc w:val="both"/>
            </w:pPr>
            <w:r>
              <w:rPr>
                <w:rFonts w:ascii="Times New Roman" w:hAnsi="Times New Roman" w:eastAsia="바탕"/>
                <w:sz w:val="20"/>
              </w:rPr>
              <w:t>5.2  A procedure for verifying pictogram comprehension</w:t>
            </w:r>
          </w:p>
          <w:p>
            <w:pPr>
              <w:spacing w:after="80" w:line="276" w:lineRule="auto"/>
              <w:jc w:val="both"/>
            </w:pPr>
            <w:r>
              <w:rPr>
                <w:rFonts w:ascii="Times New Roman" w:hAnsi="Times New Roman" w:eastAsia="바탕"/>
                <w:sz w:val="20"/>
              </w:rPr>
              <w:t>5.3  Morphemes judged unimprovable</w:t>
            </w:r>
          </w:p>
          <w:p>
            <w:pPr>
              <w:spacing w:after="80" w:line="276" w:lineRule="auto"/>
              <w:jc w:val="both"/>
            </w:pPr>
            <w:r>
              <w:rPr>
                <w:rFonts w:ascii="Times New Roman" w:hAnsi="Times New Roman" w:eastAsia="바탕"/>
                <w:sz w:val="20"/>
              </w:rPr>
              <w:t>5.4  Limits of the measurement</w:t>
            </w:r>
          </w:p>
          <w:p>
            <w:pPr>
              <w:spacing w:after="80" w:line="276" w:lineRule="auto"/>
              <w:jc w:val="both"/>
            </w:pPr>
            <w:r>
              <w:rPr>
                <w:rFonts w:ascii="Times New Roman" w:hAnsi="Times New Roman" w:eastAsia="바탕"/>
                <w:sz w:val="20"/>
              </w:rPr>
              <w:t>5.5  Measured performance of the nutrition estimation model</w:t>
            </w:r>
          </w:p>
          <w:p>
            <w:pPr>
              <w:spacing w:after="80" w:line="276" w:lineRule="auto"/>
              <w:jc w:val="both"/>
            </w:pPr>
            <w:r>
              <w:rPr>
                <w:rFonts w:ascii="Times New Roman" w:hAnsi="Times New Roman" w:eastAsia="바탕"/>
                <w:sz w:val="20"/>
              </w:rPr>
              <w:t>5.6  Measured offline operation</w:t>
            </w:r>
          </w:p>
          <w:p>
            <w:pPr>
              <w:spacing w:after="80" w:line="276" w:lineRule="auto"/>
              <w:jc w:val="both"/>
            </w:pPr>
            <w:r>
              <w:rPr>
                <w:rFonts w:ascii="Times New Roman" w:hAnsi="Times New Roman" w:eastAsia="바탕"/>
                <w:sz w:val="20"/>
              </w:rPr>
              <w:t>5.7  Expert opinion survey</w:t>
            </w:r>
          </w:p>
          <w:p>
            <w:pPr>
              <w:spacing w:after="80" w:line="276" w:lineRule="auto"/>
              <w:jc w:val="both"/>
            </w:pPr>
            <w:r>
              <w:rPr>
                <w:rFonts w:ascii="Times New Roman" w:hAnsi="Times New Roman" w:eastAsia="바탕"/>
                <w:sz w:val="20"/>
              </w:rPr>
              <w:t>5.8  Contribution to SDG 3</w:t>
            </w:r>
          </w:p>
          <w:p>
            <w:pPr>
              <w:spacing w:after="80" w:line="276" w:lineRule="auto"/>
              <w:jc w:val="both"/>
            </w:pPr>
            <w:r>
              <w:rPr>
                <w:rFonts w:ascii="Times New Roman" w:hAnsi="Times New Roman" w:eastAsia="바탕"/>
                <w:sz w:val="20"/>
              </w:rPr>
              <w:t>5.9  Unverified items</w:t>
            </w:r>
          </w:p>
          <w:p>
            <w:pPr>
              <w:spacing w:after="80" w:line="276" w:lineRule="auto"/>
              <w:jc w:val="both"/>
            </w:pPr>
            <w:r>
              <w:rPr>
                <w:rFonts w:ascii="Times New Roman" w:hAnsi="Times New Roman" w:eastAsia="바탕"/>
                <w:sz w:val="20"/>
              </w:rPr>
              <w:t>5.10  Future plans</w:t>
            </w:r>
          </w:p>
          <w:p>
            <w:pPr>
              <w:spacing w:after="80" w:line="276" w:lineRule="auto"/>
              <w:jc w:val="both"/>
            </w:pPr>
            <w:r>
              <w:rPr>
                <w:rFonts w:ascii="Times New Roman" w:hAnsi="Times New Roman" w:eastAsia="바탕"/>
                <w:sz w:val="20"/>
              </w:rPr>
              <w:t>5.11  Appendix. Every free-text response</w:t>
            </w:r>
          </w:p>
          <w:p>
            <w:pPr>
              <w:spacing w:after="80" w:line="276" w:lineRule="auto"/>
              <w:jc w:val="both"/>
            </w:pPr>
            <w:r>
              <w:rPr>
                <w:rFonts w:ascii="Times New Roman" w:hAnsi="Times New Roman" w:eastAsia="바탕"/>
                <w:sz w:val="20"/>
              </w:rPr>
              <w:t>5.12  Appendix. Every multiple-choice response</w:t>
            </w:r>
          </w:p>
          <w:p>
            <w:pPr>
              <w:spacing w:after="80" w:line="276" w:lineRule="auto"/>
              <w:jc w:val="both"/>
            </w:pPr>
            <w:r>
              <w:rPr>
                <w:rFonts w:ascii="Times New Roman" w:hAnsi="Times New Roman" w:eastAsia="바탕"/>
                <w:sz w:val="20"/>
              </w:rPr>
              <w:t xml:space="preserve">Taking medicine as directed is hard for anyone. In a meta-analysis pooling 22 studies and 92,443 subjects on hypertension in low- and middle-income countries, non-adherence ranged from 25.45% to 63.35% depending on the instrument used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and in the United States the avoidable health care costs arising from medication non-adherence are estimated at $100 billion to $300 billion a year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This is not the problem of one group. From finding in the evening the supplement meant for the morning, to stopping an antibiotic on the day the symptoms fade, the same kind of failure runs through.</w:t>
            </w:r>
          </w:p>
          <w:p>
            <w:pPr>
              <w:spacing w:after="80" w:line="276" w:lineRule="auto"/>
              <w:jc w:val="both"/>
            </w:pPr>
            <w:r>
              <w:rPr>
                <w:rFonts w:ascii="Times New Roman" w:hAnsi="Times New Roman" w:eastAsia="바탕"/>
                <w:sz w:val="20"/>
              </w:rPr>
              <w:t>The mechanism of that failure is mostly not reading. Three studies this document cites later point at the same place from three different tasks. What the authors identified as the reason non-literate users slowed down on a hierarchical screen was the load of holding in mind how far down they had gone (§1.10); the one screen out of six for estimating food portions on which nobody succeeded was the screen that made people forget which dimension they had already measured (§1.10); and what older adults said about interactive voice response was that it demands attention and concentration in particular (§2.3). All three are matters of working memory and attention rather than of letters.</w:t>
            </w:r>
          </w:p>
          <w:p>
            <w:pPr>
              <w:spacing w:after="80" w:line="276" w:lineRule="auto"/>
              <w:jc w:val="both"/>
            </w:pPr>
            <w:r>
              <w:rPr>
                <w:rFonts w:ascii="Times New Roman" w:hAnsi="Times New Roman" w:eastAsia="바탕"/>
                <w:sz w:val="20"/>
              </w:rPr>
              <w:t xml:space="preserve">If that is so, the conditions under which this failure grows heavier do not narrow to reading either. States that load executive function, such as attention deficit hyperactivity disorder and burnout; states with damage to memory and movement, such as Alzheimer's disease and Parkinson's disease; states that are temporary but common, such as lack of sleep and sustained stress; and old age all sit on the same axis. To these are added the conditions that block reading itself, non-literacy and dyslexia. That 79.4% of 131 Korean adults over 65 took their medicines themselves while only 28.2% had received medication safety education gives some measure of that axis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That is the order in which this document narrows the problem. It begins with the harshest of these conditions, non-literacy, where the instruction never arrives at all (§1.1 to §1.3). A design that holds under that condition holds under the others, while the reverse does not follow. That logic is set out formally in §1.13, and the full range of the target together with where each condition blocks is laid out in a table in the same section. The design from §2 onward and the evaluation in §5 all take that harshest condition as their standard.</w:t>
            </w:r>
          </w:p>
          <w:p>
            <w:pPr>
              <w:spacing w:before="180" w:after="40"/>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same happened in Western Asia and Northern Africa. While the literacy rate rose from 82% to 84%, the number of non-literate adults rose from 59 million to 65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It is not an accident of one region but a second case of the rate and the absolute number moving apart.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 caveat attaches to the fall in the global number of non-literate adults from 754 million in 2023 to 739 million in 2024 as well. It reflects both the UN Population Division's 2024 revision of World Population Prospects and updated national literacy statistics, and the factsheet states that India's literacy rate being revised upward from 77% to 81% contributed significantly to the global reduction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Fifteen million people did not learn to read in a single year: part of the change lies in how the counting was done. The number of people this app is aimed at does not fall because a statistic was revised.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9),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same study also measures what that education is worth. Those who had received medication safety education came out safer in their actual medication practice than those who had not (</w:t>
            </w:r>
            <w:r>
              <w:rPr>
                <w:rFonts w:ascii="Times New Roman" w:hAnsi="Times New Roman" w:eastAsia="바탕"/>
                <w:i/>
                <w:sz w:val="20"/>
              </w:rPr>
              <w:t>p</w:t>
            </w:r>
            <w:r>
              <w:rPr>
                <w:rFonts w:ascii="Times New Roman" w:hAnsi="Times New Roman" w:eastAsia="바탕"/>
                <w:sz w:val="20"/>
              </w:rPr>
              <w:t xml:space="preserve"> &lt; 0.05). What helps was confirmed to help, and 28.2% had received it. The participants were 131 people gathered at senior welfare centres and pharmacies in the capital and in urban and rural regions, and the authors record as a limitation that their survey stayed on paper and could not use newer tools such as multimedia. What this app sets out to do stands in the place of that limitation.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The two figures do not carry the same weight, and that should be stated. The smoking difference is a reported value, whereas for visits to a general practitioner the multivariate odds ratio is 0.4 (95% CI 0.2–1.07), a confidence interval that crosses 1. The authors themselves write only that it approaches significance. That people with lower literacy use primary care less is therefore not a fact established by this study but an observation pointing that way. Since this is precisely the relationship we say we will examine in §5.9, there is no reason to write it now as settled.</w:t>
            </w:r>
          </w:p>
          <w:p>
            <w:pPr>
              <w:spacing w:after="80" w:line="276" w:lineRule="auto"/>
              <w:jc w:val="both"/>
            </w:pPr>
            <w:r>
              <w:rPr>
                <w:rFonts w:ascii="Times New Roman" w:hAnsi="Times New Roman" w:eastAsia="바탕"/>
                <w:sz w:val="20"/>
              </w:rPr>
              <w:t>How the sample was gathered belongs here too. A convenience sample was obtained by time-space sampling at places where Moldovan women gather: the Moldovan consulate, two Orthodox churches, a car park and a park. That is a standard way of reaching a hard-to-reach population, but it is not a random sample. Add that these are migrants and it cannot be carried across to the population inside Moldova. What we take from this study is neither the figures nor a settled cause, but grounds for measuring health literacy together with primary care use, and the confirming of it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percentage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One discrepancy in the numbers inside this document should be stated as well. Gutierrez et al. in Table 6 counted and tested the USP set as 82 symbols, and this section says 81. The set may have grown or shrunk over time, but we could not confirm at a primary source which figure belongs to which date. Each source's own count has therefore been left as it stands. A difference of one does not change the argument of this section or of Table 6.</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\inhaler{\food_bowl}</w:t>
            </w:r>
            <w:r>
              <w:rPr>
                <w:rFonts w:ascii="Times New Roman" w:hAnsi="Times New Roman" w:eastAsia="바탕"/>
                <w:sz w:val="20"/>
              </w:rPr>
              <w:t xml:space="preserve"> (an inhaler with a meal),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the results split by screen. On the liquids screen all ten estimated the coffee correctly but seven the water, and on the amorphous screen eight estimated the mashed potatoes and eight the spaghetti. The solid-food side divides into three. On the shapes screen two got the apple and five the pizza; on the portions screen four got the apple and five the pizza. And </w:t>
            </w:r>
            <w:r>
              <w:rPr>
                <w:rFonts w:ascii="Times New Roman" w:hAnsi="Times New Roman" w:eastAsia="바탕"/>
                <w:b/>
                <w:sz w:val="20"/>
              </w:rPr>
              <w:t>on the measurements screen not one participant succeeded in measuring all three dimensions of the steak.</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Where we handle that tension is not the grammar but the side that uses it. The engine accepts several modifiers on one head: the first goes inside the head's slot and the second onward are laid in a strip above it. The app, however, uses only one modifier per head, and when a body site and a meal context both apply it emits one of them as a separate picture (</w:t>
            </w:r>
            <w:r>
              <w:rPr>
                <w:rFonts w:ascii="Consolas" w:hAnsi="Consolas" w:eastAsia="Consolas"/>
                <w:sz w:val="19"/>
              </w:rPr>
              <w:t>lib/snapcare/sigil.ts</w:t>
            </w:r>
            <w:r>
              <w:rPr>
                <w:rFonts w:ascii="Times New Roman" w:hAnsi="Times New Roman" w:eastAsia="바탕"/>
                <w:sz w:val="20"/>
              </w:rPr>
              <w:t>). What can be piled onto one picture and what still reads once piled on are different things, and this is something we decided rather than something the grammar prevented.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p>
            <w:pPr>
              <w:spacing w:after="80" w:line="276" w:lineRule="auto"/>
              <w:jc w:val="both"/>
            </w:pPr>
            <w:r>
              <w:rPr>
                <w:rFonts w:ascii="Times New Roman" w:hAnsi="Times New Roman" w:eastAsia="바탕"/>
                <w:sz w:val="20"/>
              </w:rPr>
              <w:t>Once the target is widened in the next section, the Korean half of this section's argument grows heavier rather than lighter. The grounds given for calling it invisible are that 18 of the 39 respondents in §5.7 said they scarcely meet such patients, and that is an answer about patients who cannot read. The conditions §1.13 adds are counted even less than those. Health literacy at least has a figure of 39.6%, whereas we found no statistic within the range of this document that counts people too worn out to take medicine on time, or people who cannot remember whether they took last night's dose. Nor does that arrive in a consulting room as a diagnosis. Saying that this problem is invisible in Korea becomes truer the further the target is widened.</w:t>
            </w:r>
          </w:p>
          <w:p>
            <w:pPr>
              <w:spacing w:before="180" w:after="40"/>
            </w:pPr>
            <w:r>
              <w:rPr>
                <w:rFonts w:ascii="Times New Roman" w:hAnsi="Times New Roman" w:eastAsia="바탕"/>
                <w:b/>
                <w:sz w:val="23"/>
              </w:rPr>
              <w:t>1.13 The range of the target and the design standard</w:t>
            </w:r>
          </w:p>
          <w:p>
            <w:pPr>
              <w:spacing w:after="80" w:line="276" w:lineRule="auto"/>
              <w:jc w:val="both"/>
            </w:pPr>
            <w:r>
              <w:rPr>
                <w:rFonts w:ascii="Times New Roman" w:hAnsi="Times New Roman" w:eastAsia="바탕"/>
                <w:sz w:val="20"/>
              </w:rPr>
              <w:t>The twelve preceding sections have been narrowing toward one condition: the condition in which the content of a prescription never arrives because it cannot be read. This section sets out why that condition is taken as the design standard, and what a design built to it actually reaches.</w:t>
            </w:r>
          </w:p>
          <w:p>
            <w:pPr>
              <w:spacing w:after="80" w:line="276" w:lineRule="auto"/>
              <w:jc w:val="both"/>
            </w:pPr>
            <w:r>
              <w:rPr>
                <w:rFonts w:ascii="Times New Roman" w:hAnsi="Times New Roman" w:eastAsia="바탕"/>
                <w:sz w:val="20"/>
              </w:rPr>
              <w:t>The reason for setting the standard at the harshest condition lies in a containment that holds in one direction only. A screen a person who cannot read can understand is also understood by a person who can read, while a screen a reader can understand is not thereby understood by someone who cannot read. There is therefore no need to build two versions aimed at two groups: one version built to the harsher condition covers both. That is why this document describes only one set of screens from §2 onward.</w:t>
            </w:r>
          </w:p>
          <w:p>
            <w:pPr>
              <w:spacing w:after="80" w:line="276" w:lineRule="auto"/>
              <w:jc w:val="both"/>
            </w:pPr>
            <w:r>
              <w:rPr>
                <w:rFonts w:ascii="Times New Roman" w:hAnsi="Times New Roman" w:eastAsia="바탕"/>
                <w:sz w:val="20"/>
              </w:rPr>
              <w:t>That containment does not hold on every axis, though. It holds on the axis of comprehensibility. How much sight a screen demands is a separate axis, so a size legible to a user with low vision does not thereby become usable for a blind user. As stated in §1.5, this app begins with a photograph, and taking that photograph remains a barrier for someone who cannot see. Tremor in the hand and the precision an action requires are separate axes in the same way. The table below therefore records, for each condition, which axis is the one that blocks.</w:t>
            </w:r>
          </w:p>
          <w:p>
            <w:pPr>
              <w:spacing w:after="80" w:line="276" w:lineRule="auto"/>
              <w:jc w:val="both"/>
            </w:pPr>
            <w:r>
              <w:rPr>
                <w:rFonts w:ascii="Times New Roman" w:hAnsi="Times New Roman" w:eastAsia="바탕"/>
                <w:sz w:val="20"/>
              </w:rPr>
              <w:t>The grounds for saying that the barrier we designed against is not peculiar to literacy lie inside studies this document already cites. In the hierarchy experiment of §1.10 the authors themselves wrote that, having had no control group of literate readers, they could not say the difficulty of hierarchy was peculiar to non-literate users, and the mechanism they pointed to was the load of holding in mind how far down one had gone. In the portion-estimation experiment in the same section, the one screen out of six on which nobody succeeded was the screen that made people forget which dimension they had already measured. In the interactive voice response study cited in §2.3, what older participants said about the interaction was that it demands attention and concentration in particular. All three point at working memory and attention, and those are resources that can be loaded independently of reading.</w:t>
            </w:r>
          </w:p>
          <w:p>
            <w:pPr>
              <w:spacing w:after="80" w:line="276" w:lineRule="auto"/>
              <w:jc w:val="both"/>
            </w:pPr>
            <w:r>
              <w:rPr>
                <w:rFonts w:ascii="Times New Roman" w:hAnsi="Times New Roman" w:eastAsia="바탕"/>
                <w:sz w:val="20"/>
              </w:rPr>
              <w:t xml:space="preserve">How medication actually breaks down in groups carrying that load has been measured as well. In a systematic review of 66 studies of children and adolescents with attention deficit hyperactivity disorder, the proportion showing good adherence at 12-month follow-up under the most commonly used definition (medication possession ratio of 80% or more) was 22.9%, and mean treatment duration over those 12 months was 170 days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In a study of 124 Parkinson's disease patients taking at least three daily doses, 36.3% reported low adherence, 29.8% medium and only 33.9% high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The latter bears on this section most directly, because the independent risk factors the authors found for non-adherence were excessive daytime sleepiness, anhedonia and forgetfulness. The diagnosis is Parkinson's disease, but what actually broke adherence was being sleepy, being without drive, and forgetting. Those three also come to anyone, diagnosis or not.</w:t>
            </w:r>
          </w:p>
          <w:p>
            <w:pPr>
              <w:spacing w:after="80" w:line="276" w:lineRule="auto"/>
              <w:jc w:val="both"/>
            </w:pPr>
            <w:r>
              <w:rPr>
                <w:rFonts w:ascii="Times New Roman" w:hAnsi="Times New Roman" w:eastAsia="바탕"/>
                <w:sz w:val="20"/>
              </w:rPr>
              <w:t>The leaps taken in carrying these two studies across should be named. The first looked at children and adolescents, whereas the users this app aims at are mostly adults. That attention deficit hyperactivity disorder can carry into adulthood and that adherence figures for children can be carried across to adults are two different statements, and we hold no evidence for the second. What is taken here is not the proportion but the fact that medication-taking does break down in this group. The second sampled only Parkinson's patients without dementia, so it cannot be carried across to people with severe memory impairment. That the risk factors the authors found fit our argument does not make their sample the same as our target.</w:t>
            </w:r>
          </w:p>
          <w:p>
            <w:pPr>
              <w:spacing w:after="80" w:line="276" w:lineRule="auto"/>
              <w:jc w:val="both"/>
            </w:pPr>
            <w:r>
              <w:rPr>
                <w:rFonts w:ascii="Times New Roman" w:hAnsi="Times New Roman" w:eastAsia="바탕"/>
                <w:sz w:val="20"/>
              </w:rPr>
              <w:t>[Table 7] Target conditions, where each is blocked, and the corresponding function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Condition</w:t>
                  </w:r>
                </w:p>
              </w:tc>
              <w:tc>
                <w:tcPr>
                  <w:tcW w:type="dxa" w:w="2441"/>
                  <w:shd w:val="clear" w:fill="F2F2F2"/>
                </w:tcPr>
                <w:p>
                  <w:r>
                    <w:rPr>
                      <w:rFonts w:ascii="Times New Roman" w:hAnsi="Times New Roman" w:eastAsia="바탕"/>
                      <w:b/>
                      <w:sz w:val="18"/>
                    </w:rPr>
                    <w:t>What blocks</w:t>
                  </w:r>
                </w:p>
              </w:tc>
              <w:tc>
                <w:tcPr>
                  <w:tcW w:type="dxa" w:w="2441"/>
                  <w:shd w:val="clear" w:fill="F2F2F2"/>
                </w:tcPr>
                <w:p>
                  <w:r>
                    <w:rPr>
                      <w:rFonts w:ascii="Times New Roman" w:hAnsi="Times New Roman" w:eastAsia="바탕"/>
                      <w:b/>
                      <w:sz w:val="18"/>
                    </w:rPr>
                    <w:t>Which part of this app reaches it</w:t>
                  </w:r>
                </w:p>
              </w:tc>
              <w:tc>
                <w:tcPr>
                  <w:tcW w:type="dxa" w:w="2441"/>
                  <w:shd w:val="clear" w:fill="F2F2F2"/>
                </w:tcPr>
                <w:p>
                  <w:r>
                    <w:rPr>
                      <w:rFonts w:ascii="Times New Roman" w:hAnsi="Times New Roman" w:eastAsia="바탕"/>
                      <w:b/>
                      <w:sz w:val="18"/>
                    </w:rPr>
                    <w:t>Grounds</w:t>
                  </w:r>
                </w:p>
              </w:tc>
            </w:tr>
            <w:tr>
              <w:tc>
                <w:tcPr>
                  <w:tcW w:type="dxa" w:w="2441"/>
                </w:tcPr>
                <w:p>
                  <w:r>
                    <w:rPr>
                      <w:rFonts w:ascii="Times New Roman" w:hAnsi="Times New Roman" w:eastAsia="바탕"/>
                      <w:b/>
                      <w:sz w:val="18"/>
                    </w:rPr>
                    <w:t>Non-literacy and low literacy</w:t>
                  </w:r>
                </w:p>
              </w:tc>
              <w:tc>
                <w:tcPr>
                  <w:tcW w:type="dxa" w:w="2441"/>
                </w:tcPr>
                <w:p>
                  <w:r>
                    <w:rPr>
                      <w:rFonts w:ascii="Times New Roman" w:hAnsi="Times New Roman" w:eastAsia="바탕"/>
                      <w:sz w:val="18"/>
                    </w:rPr>
                    <w:t>Reading itself</w:t>
                  </w:r>
                </w:p>
              </w:tc>
              <w:tc>
                <w:tcPr>
                  <w:tcW w:type="dxa" w:w="2441"/>
                </w:tcPr>
                <w:p>
                  <w:r>
                    <w:rPr>
                      <w:rFonts w:ascii="Times New Roman" w:hAnsi="Times New Roman" w:eastAsia="바탕"/>
                      <w:sz w:val="18"/>
                    </w:rPr>
                    <w:t>The whole screen, which demands no letters (§2.2), and speech (§2.3)</w:t>
                  </w:r>
                </w:p>
              </w:tc>
              <w:tc>
                <w:tcPr>
                  <w:tcW w:type="dxa" w:w="2441"/>
                </w:tcPr>
                <w:p>
                  <w:r>
                    <w:rPr>
                      <w:rFonts w:ascii="Times New Roman" w:hAnsi="Times New Roman" w:eastAsia="바탕"/>
                      <w:sz w:val="18"/>
                    </w:rPr>
                    <w:t>§1.1 to §1.3 · the design standard</w:t>
                  </w:r>
                </w:p>
              </w:tc>
            </w:tr>
            <w:tr>
              <w:tc>
                <w:tcPr>
                  <w:tcW w:type="dxa" w:w="2441"/>
                </w:tcPr>
                <w:p>
                  <w:r>
                    <w:rPr>
                      <w:rFonts w:ascii="Times New Roman" w:hAnsi="Times New Roman" w:eastAsia="바탕"/>
                      <w:b/>
                      <w:sz w:val="18"/>
                    </w:rPr>
                    <w:t>Dyslexia</w:t>
                  </w:r>
                </w:p>
              </w:tc>
              <w:tc>
                <w:tcPr>
                  <w:tcW w:type="dxa" w:w="2441"/>
                </w:tcPr>
                <w:p>
                  <w:r>
                    <w:rPr>
                      <w:rFonts w:ascii="Times New Roman" w:hAnsi="Times New Roman" w:eastAsia="바탕"/>
                      <w:sz w:val="18"/>
                    </w:rPr>
                    <w:t>The speed and accuracy of reading</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Attention deficit hyperactivity disorder</w:t>
                  </w:r>
                </w:p>
              </w:tc>
              <w:tc>
                <w:tcPr>
                  <w:tcW w:type="dxa" w:w="2441"/>
                </w:tcPr>
                <w:p>
                  <w:r>
                    <w:rPr>
                      <w:rFonts w:ascii="Times New Roman" w:hAnsi="Times New Roman" w:eastAsia="바탕"/>
                      <w:sz w:val="18"/>
                    </w:rPr>
                    <w:t>Executive function, sustained attention</w:t>
                  </w:r>
                </w:p>
              </w:tc>
              <w:tc>
                <w:tcPr>
                  <w:tcW w:type="dxa" w:w="2441"/>
                </w:tcPr>
                <w:p>
                  <w:r>
                    <w:rPr>
                      <w:rFonts w:ascii="Times New Roman" w:hAnsi="Times New Roman" w:eastAsia="바탕"/>
                      <w:sz w:val="18"/>
                    </w:rPr>
                    <w:t>A verdict finished in one screen and one colour (§3.3), the dispenser's timed prompt (§4.3)</w:t>
                  </w:r>
                </w:p>
              </w:tc>
              <w:tc>
                <w:tcPr>
                  <w:tcW w:type="dxa" w:w="2441"/>
                </w:tcPr>
                <w:p>
                  <w:r>
                    <w:rPr>
                      <w:rFonts w:ascii="Times New Roman" w:hAnsi="Times New Roman" w:eastAsia="바탕"/>
                      <w:sz w:val="18"/>
                    </w:rPr>
                    <w:t xml:space="preserve">22.9% good adherence at 12 months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Burnout, lack of sleep, sustained stress</w:t>
                  </w:r>
                </w:p>
              </w:tc>
              <w:tc>
                <w:tcPr>
                  <w:tcW w:type="dxa" w:w="2441"/>
                </w:tcPr>
                <w:p>
                  <w:r>
                    <w:rPr>
                      <w:rFonts w:ascii="Times New Roman" w:hAnsi="Times New Roman" w:eastAsia="바탕"/>
                      <w:sz w:val="18"/>
                    </w:rPr>
                    <w:t>Temporary decline in attention and drive</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 xml:space="preserve">Sleepiness and anhedonia were independent risk factors in the Parkinson's data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Alzheimer's disease and memory disorders</w:t>
                  </w:r>
                </w:p>
              </w:tc>
              <w:tc>
                <w:tcPr>
                  <w:tcW w:type="dxa" w:w="2441"/>
                </w:tcPr>
                <w:p>
                  <w:r>
                    <w:rPr>
                      <w:rFonts w:ascii="Times New Roman" w:hAnsi="Times New Roman" w:eastAsia="바탕"/>
                      <w:sz w:val="18"/>
                    </w:rPr>
                    <w:t>Memory of what has already been done</w:t>
                  </w:r>
                </w:p>
              </w:tc>
              <w:tc>
                <w:tcPr>
                  <w:tcW w:type="dxa" w:w="2441"/>
                </w:tcPr>
                <w:p>
                  <w:r>
                    <w:rPr>
                      <w:rFonts w:ascii="Times New Roman" w:hAnsi="Times New Roman" w:eastAsia="바탕"/>
                      <w:sz w:val="18"/>
                    </w:rPr>
                    <w:t>The confirming step (§3.8), and the dispenser recording whether a dose was taken</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Parkinson's disease</w:t>
                  </w:r>
                </w:p>
              </w:tc>
              <w:tc>
                <w:tcPr>
                  <w:tcW w:type="dxa" w:w="2441"/>
                </w:tcPr>
                <w:p>
                  <w:r>
                    <w:rPr>
                      <w:rFonts w:ascii="Times New Roman" w:hAnsi="Times New Roman" w:eastAsia="바탕"/>
                      <w:sz w:val="18"/>
                    </w:rPr>
                    <w:t>Memory and drive, plus complex dosing times</w:t>
                  </w:r>
                </w:p>
              </w:tc>
              <w:tc>
                <w:tcPr>
                  <w:tcW w:type="dxa" w:w="2441"/>
                </w:tcPr>
                <w:p>
                  <w:r>
                    <w:rPr>
                      <w:rFonts w:ascii="Times New Roman" w:hAnsi="Times New Roman" w:eastAsia="바탕"/>
                      <w:sz w:val="18"/>
                    </w:rPr>
                    <w:t>Time morphemes (§2.2), the dispenser (§4.3)</w:t>
                  </w:r>
                </w:p>
              </w:tc>
              <w:tc>
                <w:tcPr>
                  <w:tcW w:type="dxa" w:w="2441"/>
                </w:tcPr>
                <w:p>
                  <w:r>
                    <w:rPr>
                      <w:rFonts w:ascii="Times New Roman" w:hAnsi="Times New Roman" w:eastAsia="바탕"/>
                      <w:sz w:val="18"/>
                    </w:rPr>
                    <w:t xml:space="preserve">36.3% low adherence among those on three or more daily doses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Autism and intellectual disability</w:t>
                  </w:r>
                </w:p>
              </w:tc>
              <w:tc>
                <w:tcPr>
                  <w:tcW w:type="dxa" w:w="2441"/>
                </w:tcPr>
                <w:p>
                  <w:r>
                    <w:rPr>
                      <w:rFonts w:ascii="Times New Roman" w:hAnsi="Times New Roman" w:eastAsia="바탕"/>
                      <w:sz w:val="18"/>
                    </w:rPr>
                    <w:t>Interpretation of text and abstract symbols</w:t>
                  </w:r>
                </w:p>
              </w:tc>
              <w:tc>
                <w:tcPr>
                  <w:tcW w:type="dxa" w:w="2441"/>
                </w:tcPr>
                <w:p>
                  <w:r>
                    <w:rPr>
                      <w:rFonts w:ascii="Times New Roman" w:hAnsi="Times New Roman" w:eastAsia="바탕"/>
                      <w:sz w:val="18"/>
                    </w:rPr>
                    <w:t>The single-layer screen with the hierarchy removed (§3.1) and the confirming step (§3.8). That our glyphs are black-and-white silhouettes may count against us for this condition, though (§1.10)</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Thyroid dysfunction</w:t>
                  </w:r>
                </w:p>
              </w:tc>
              <w:tc>
                <w:tcPr>
                  <w:tcW w:type="dxa" w:w="2441"/>
                </w:tcPr>
                <w:p>
                  <w:r>
                    <w:rPr>
                      <w:rFonts w:ascii="Times New Roman" w:hAnsi="Times New Roman" w:eastAsia="바탕"/>
                      <w:sz w:val="18"/>
                    </w:rPr>
                    <w:t>The drug is not absorbed unless the timing is kept</w:t>
                  </w:r>
                </w:p>
              </w:tc>
              <w:tc>
                <w:tcPr>
                  <w:tcW w:type="dxa" w:w="2441"/>
                </w:tcPr>
                <w:p>
                  <w:r>
                    <w:rPr>
                      <w:rFonts w:ascii="Consolas" w:hAnsi="Consolas" w:eastAsia="Consolas"/>
                      <w:sz w:val="17"/>
                    </w:rPr>
                    <w:t>food_empty_bowl</w:t>
                  </w:r>
                  <w:r>
                    <w:rPr>
                      <w:rFonts w:ascii="Times New Roman" w:hAnsi="Times New Roman" w:eastAsia="바탕"/>
                      <w:sz w:val="18"/>
                    </w:rPr>
                    <w:t xml:space="preserve"> goes in the head's slot and </w:t>
                  </w:r>
                  <w:r>
                    <w:rPr>
                      <w:rFonts w:ascii="Consolas" w:hAnsi="Consolas" w:eastAsia="Consolas"/>
                      <w:sz w:val="17"/>
                    </w:rPr>
                    <w:t>time_morning</w:t>
                  </w:r>
                  <w:r>
                    <w:rPr>
                      <w:rFonts w:ascii="Times New Roman" w:hAnsi="Times New Roman" w:eastAsia="바탕"/>
                      <w:sz w:val="18"/>
                    </w:rPr>
                    <w:t xml:space="preserve"> follows it, so "on an empty stomach, in the morning" comes out as two pictures (§2.2). The box dispenses only within a dose window (§4.3). No morpheme among the 78, however, means "keep this many hours apart from that"</w:t>
                  </w:r>
                </w:p>
              </w:tc>
              <w:tc>
                <w:tcPr>
                  <w:tcW w:type="dxa" w:w="2441"/>
                </w:tcPr>
                <w:p>
                  <w:r>
                    <w:rPr>
                      <w:rFonts w:ascii="Times New Roman" w:hAnsi="Times New Roman" w:eastAsia="바탕"/>
                      <w:sz w:val="18"/>
                    </w:rPr>
                    <w:t xml:space="preserve">107 articles and 128 studies on interfering substances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Old age</w:t>
                  </w:r>
                </w:p>
              </w:tc>
              <w:tc>
                <w:tcPr>
                  <w:tcW w:type="dxa" w:w="2441"/>
                </w:tcPr>
                <w:p>
                  <w:r>
                    <w:rPr>
                      <w:rFonts w:ascii="Times New Roman" w:hAnsi="Times New Roman" w:eastAsia="바탕"/>
                      <w:sz w:val="18"/>
                    </w:rPr>
                    <w:t>Several of the axes above overlapping</w:t>
                  </w:r>
                </w:p>
              </w:tc>
              <w:tc>
                <w:tcPr>
                  <w:tcW w:type="dxa" w:w="2441"/>
                </w:tcPr>
                <w:p>
                  <w:r>
                    <w:rPr>
                      <w:rFonts w:ascii="Times New Roman" w:hAnsi="Times New Roman" w:eastAsia="바탕"/>
                      <w:sz w:val="18"/>
                    </w:rPr>
                    <w:t>The whole</w:t>
                  </w:r>
                </w:p>
              </w:tc>
              <w:tc>
                <w:tcPr>
                  <w:tcW w:type="dxa" w:w="2441"/>
                </w:tcPr>
                <w:p>
                  <w:r>
                    <w:rPr>
                      <w:rFonts w:ascii="Times New Roman" w:hAnsi="Times New Roman" w:eastAsia="바탕"/>
                      <w:sz w:val="18"/>
                    </w:rPr>
                    <w:t>79.4% of adults over 65 self-administer, 28.2% educated (§1.2)</w:t>
                  </w:r>
                </w:p>
              </w:tc>
            </w:tr>
            <w:tr>
              <w:tc>
                <w:tcPr>
                  <w:tcW w:type="dxa" w:w="2441"/>
                </w:tcPr>
                <w:p>
                  <w:r>
                    <w:rPr>
                      <w:rFonts w:ascii="Times New Roman" w:hAnsi="Times New Roman" w:eastAsia="바탕"/>
                      <w:b/>
                      <w:sz w:val="18"/>
                    </w:rPr>
                    <w:t>Low vision</w:t>
                  </w:r>
                </w:p>
              </w:tc>
              <w:tc>
                <w:tcPr>
                  <w:tcW w:type="dxa" w:w="2441"/>
                </w:tcPr>
                <w:p>
                  <w:r>
                    <w:rPr>
                      <w:rFonts w:ascii="Times New Roman" w:hAnsi="Times New Roman" w:eastAsia="바탕"/>
                      <w:sz w:val="18"/>
                    </w:rPr>
                    <w:t>Character size and contrast</w:t>
                  </w:r>
                </w:p>
              </w:tc>
              <w:tc>
                <w:tcPr>
                  <w:tcW w:type="dxa" w:w="2441"/>
                </w:tcPr>
                <w:p>
                  <w:r>
                    <w:rPr>
                      <w:rFonts w:ascii="Times New Roman" w:hAnsi="Times New Roman" w:eastAsia="바탕"/>
                      <w:sz w:val="18"/>
                    </w:rPr>
                    <w:t>Large pictures, layers beyond colour (§3.7), speech (§3.5)</w:t>
                  </w:r>
                </w:p>
              </w:tc>
              <w:tc>
                <w:tcPr>
                  <w:tcW w:type="dxa" w:w="2441"/>
                </w:tcPr>
                <w:p>
                  <w:r>
                    <w:rPr>
                      <w:rFonts w:ascii="Times New Roman" w:hAnsi="Times New Roman" w:eastAsia="바탕"/>
                      <w:sz w:val="18"/>
                    </w:rPr>
                    <w:t>2.2 billion people with vision impairment (§1.5)</w:t>
                  </w:r>
                </w:p>
              </w:tc>
            </w:tr>
            <w:tr>
              <w:tc>
                <w:tcPr>
                  <w:tcW w:type="dxa" w:w="2441"/>
                </w:tcPr>
                <w:p>
                  <w:r>
                    <w:rPr>
                      <w:rFonts w:ascii="Times New Roman" w:hAnsi="Times New Roman" w:eastAsia="바탕"/>
                      <w:b/>
                      <w:sz w:val="18"/>
                    </w:rPr>
                    <w:t>Total blindness</w:t>
                  </w:r>
                </w:p>
              </w:tc>
              <w:tc>
                <w:tcPr>
                  <w:tcW w:type="dxa" w:w="2441"/>
                </w:tcPr>
                <w:p>
                  <w:r>
                    <w:rPr>
                      <w:rFonts w:ascii="Times New Roman" w:hAnsi="Times New Roman" w:eastAsia="바탕"/>
                      <w:sz w:val="18"/>
                    </w:rPr>
                    <w:t>The act of photographing itself</w:t>
                  </w:r>
                </w:p>
              </w:tc>
              <w:tc>
                <w:tcPr>
                  <w:tcW w:type="dxa" w:w="2441"/>
                </w:tcPr>
                <w:p>
                  <w:r>
                    <w:rPr>
                      <w:rFonts w:ascii="Times New Roman" w:hAnsi="Times New Roman" w:eastAsia="바탕"/>
                      <w:sz w:val="18"/>
                    </w:rPr>
                    <w:t>Not taken as a target</w:t>
                  </w:r>
                </w:p>
              </w:tc>
              <w:tc>
                <w:tcPr>
                  <w:tcW w:type="dxa" w:w="2441"/>
                </w:tcPr>
                <w:p>
                  <w:r>
                    <w:rPr>
                      <w:rFonts w:ascii="Times New Roman" w:hAnsi="Times New Roman" w:eastAsia="바탕"/>
                      <w:sz w:val="18"/>
                    </w:rPr>
                    <w:t>§1.5 · §5.9 unverified items</w:t>
                  </w:r>
                </w:p>
              </w:tc>
            </w:tr>
            <w:tr>
              <w:tc>
                <w:tcPr>
                  <w:tcW w:type="dxa" w:w="2441"/>
                </w:tcPr>
                <w:p>
                  <w:r>
                    <w:rPr>
                      <w:rFonts w:ascii="Times New Roman" w:hAnsi="Times New Roman" w:eastAsia="바탕"/>
                      <w:b/>
                      <w:sz w:val="18"/>
                    </w:rPr>
                    <w:t>Misuse by children</w:t>
                  </w:r>
                </w:p>
              </w:tc>
              <w:tc>
                <w:tcPr>
                  <w:tcW w:type="dxa" w:w="2441"/>
                </w:tcPr>
                <w:p>
                  <w:r>
                    <w:rPr>
                      <w:rFonts w:ascii="Times New Roman" w:hAnsi="Times New Roman" w:eastAsia="바탕"/>
                      <w:sz w:val="18"/>
                    </w:rPr>
                    <w:t>Not recognising a medicine as a medicine</w:t>
                  </w:r>
                </w:p>
              </w:tc>
              <w:tc>
                <w:tcPr>
                  <w:tcW w:type="dxa" w:w="2441"/>
                </w:tcPr>
                <w:p>
                  <w:r>
                    <w:rPr>
                      <w:rFonts w:ascii="Times New Roman" w:hAnsi="Times New Roman" w:eastAsia="바탕"/>
                      <w:sz w:val="18"/>
                    </w:rPr>
                    <w:t>The medicine stays inside the box and is dispensed only within a dose window (§4.3). A child lock as such was not built</w:t>
                  </w:r>
                </w:p>
              </w:tc>
              <w:tc>
                <w:tcPr>
                  <w:tcW w:type="dxa" w:w="2441"/>
                </w:tcPr>
                <w:p>
                  <w:r>
                    <w:rPr>
                      <w:rFonts w:ascii="Times New Roman" w:hAnsi="Times New Roman" w:eastAsia="바탕"/>
                      <w:sz w:val="18"/>
                    </w:rPr>
                    <w:t>Mechanism shared only. We did not measure it</w:t>
                  </w:r>
                </w:p>
              </w:tc>
            </w:tr>
          </w:tbl>
          <w:p/>
          <w:p>
            <w:pPr>
              <w:spacing w:after="120"/>
            </w:pPr>
          </w:p>
          <w:p>
            <w:pPr>
              <w:spacing w:after="80" w:line="276" w:lineRule="auto"/>
              <w:jc w:val="both"/>
            </w:pPr>
            <w:r>
              <w:rPr>
                <w:rFonts w:ascii="Times New Roman" w:hAnsi="Times New Roman" w:eastAsia="바탕"/>
                <w:sz w:val="20"/>
              </w:rPr>
              <w:t xml:space="preserve">Thyroid dysfunction differs in character from the other conditions in the table, so it is treated separately. For the others the problem is that the instruction does not arrive; for this one, even when the instruction arrives, the drug is not absorbed unless the timing is kept. The routine is itself a condition of the drug working. A systematic review gathering what interferes with the bioavailability of levothyroxine lists calcium and iron supplements, proton pump inhibitors, bile acid sequestrants, phosphate binders, sex hormones, anticonvulsants, and food and drink, and among the remedies the authors give is separating the times at which these are taken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The authors also record that most of the included studies were of moderate quality and that better designed studies are needed.</w:t>
            </w:r>
          </w:p>
          <w:p>
            <w:pPr>
              <w:spacing w:after="80" w:line="276" w:lineRule="auto"/>
              <w:jc w:val="both"/>
            </w:pPr>
            <w:r>
              <w:rPr>
                <w:rFonts w:ascii="Times New Roman" w:hAnsi="Times New Roman" w:eastAsia="바탕"/>
                <w:sz w:val="20"/>
              </w:rPr>
              <w:t xml:space="preserve">This condition exposes one limit of our set. With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food_empty_bowl</w:t>
            </w:r>
            <w:r>
              <w:rPr>
                <w:rFonts w:ascii="Times New Roman" w:hAnsi="Times New Roman" w:eastAsia="바탕"/>
                <w:sz w:val="20"/>
              </w:rPr>
              <w:t xml:space="preserve"> the instruction "in the morning, on an empty stomach" can be drawn, but nowhere among the 78 morphemes is there one meaning "keep this many hours apart from that". Pointing at a time and pointing at the interval between two times are different jobs, and our grammar has only the first. This is a defect we learned of by widening the target, and it belongs to stage 5 of §5.10.</w:t>
            </w:r>
          </w:p>
          <w:p>
            <w:pPr>
              <w:spacing w:after="80" w:line="276" w:lineRule="auto"/>
              <w:jc w:val="both"/>
            </w:pPr>
            <w:r>
              <w:rPr>
                <w:rFonts w:ascii="Times New Roman" w:hAnsi="Times New Roman" w:eastAsia="바탕"/>
                <w:sz w:val="20"/>
              </w:rPr>
              <w:t>The last column of that table matters most in this section. Seven conditions have data we checked at source, four have only a shared mechanism, and one is not taken as a target. A shared mechanism means the same screen may work, not that it did. We have never tested this app with a person who has attention deficit hyperactivity disorder or autism, and the expert survey in §5.7 asked about the condition taken as the design standard rather than about these conditions. That gap is recorded in §5.9 and the procedure for closing it is in §5.10.</w:t>
            </w:r>
          </w:p>
          <w:p>
            <w:pPr>
              <w:spacing w:after="80" w:line="276" w:lineRule="auto"/>
              <w:jc w:val="both"/>
            </w:pPr>
            <w:r>
              <w:rPr>
                <w:rFonts w:ascii="Times New Roman" w:hAnsi="Times New Roman" w:eastAsia="바탕"/>
                <w:sz w:val="20"/>
              </w:rPr>
              <w:t>That one cell of the table was corrected should be set down too. The row for autism and intellectual disability first read "concrete pictogram forms", whereas our set is black-and-white silhouettes and the literature cited in §1.10 records that low-literacy users prefer concrete, photorealistic representations to stylised glyphs. That section already states this as an observation running against our design, and yet the table was writing it up as a strength. It is the place where the pull to attach something favourable to every condition took hold while widening the target. The cell now reads the removed hierarchy and the confirming step, with a note in the same cell that the silhouette may count against us here.</w:t>
            </w:r>
          </w:p>
          <w:p>
            <w:pPr>
              <w:spacing w:after="80" w:line="276" w:lineRule="auto"/>
              <w:jc w:val="both"/>
            </w:pPr>
            <w:r>
              <w:rPr>
                <w:rFonts w:ascii="Times New Roman" w:hAnsi="Times New Roman" w:eastAsia="바탕"/>
                <w:sz w:val="20"/>
              </w:rPr>
              <w:t>There is a reason for carrying the table even so. Setting the design standard at the harshest condition reads easily as meaning that the app is a thing for that condition alone. The opposite is the case. It has the structure of a kerb ramp, built for wheelchairs and used by prams and hand trolleys alike. What we removed was the load of reading, and with it the load of memory and attention, so everyone carrying that load uses the same screen.</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That principle is the design standard fixed in §1.13 carried onto the screen. Because the standard sits at the harshest condition, only one set of screens is built. There is no separate set for people who can read and another for people who cannot; the latter alone covers both. That is why no accessibility mode or simplified view appears anywhere in this document. A mode switch works only for someone who knows it has to be turned on, and if that has to be read to be known, it is already too late.</w:t>
            </w:r>
          </w:p>
          <w:p>
            <w:pPr>
              <w:spacing w:after="80" w:line="276" w:lineRule="auto"/>
              <w:jc w:val="both"/>
            </w:pPr>
            <w:r>
              <w:rPr>
                <w:rFonts w:ascii="Times New Roman" w:hAnsi="Times New Roman" w:eastAsia="바탕"/>
                <w:sz w:val="20"/>
              </w:rPr>
              <w:t>The same principle carries beyond reading. What was removed to demand no letters was a demand on memory and attention as well. With the hierarchy gone there is nothing to hold in mind about how far down one has come; with the steps gone there is nothing to count about what has already been done; with the options gone there is nothing to keep hold of about what is being asked right now. Those three sentences are the grounds on which Table 7 of §1.13 claims that one screen covers eleven conditions.</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goes into a slot inside a head (count, refrigerate, eye, mouth).</w:t>
            </w:r>
          </w:p>
          <w:p>
            <w:pPr>
              <w:spacing w:after="80" w:line="276" w:lineRule="auto"/>
              <w:jc w:val="both"/>
            </w:pPr>
            <w:r>
              <w:rPr>
                <w:rFonts w:ascii="Times New Roman" w:hAnsi="Times New Roman" w:eastAsia="바탕"/>
                <w:sz w:val="20"/>
              </w:rPr>
              <w:t xml:space="preserve">Four of the modifiers can also stand alone: the time morphemes for morning, midday, evening and night. They are marked </w:t>
            </w:r>
            <w:r>
              <w:rPr>
                <w:rFonts w:ascii="Consolas" w:hAnsi="Consolas" w:eastAsia="Consolas"/>
                <w:sz w:val="19"/>
              </w:rPr>
              <w:t>standalone</w:t>
            </w:r>
            <w:r>
              <w:rPr>
                <w:rFonts w:ascii="Times New Roman" w:hAnsi="Times New Roman" w:eastAsia="바탕"/>
                <w:sz w:val="20"/>
              </w:rPr>
              <w:t xml:space="preserve"> in the dictionary and the parser allows them on the strength of that mark, because a dose time is both a condition attached to a medicine and an instruction in itself. One picture saying "in the evening", standing after the picture of the medicine, is the instruction. The count of 1,258 expressions in §1.9 adds those four separately for the same reason.</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8]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9]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10]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9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11]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12]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13]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Item</w:t>
                  </w:r>
                </w:p>
              </w:tc>
              <w:tc>
                <w:tcPr>
                  <w:tcW w:type="dxa" w:w="1953"/>
                  <w:shd w:val="clear" w:fill="F2F2F2"/>
                </w:tcPr>
                <w:p>
                  <w:r>
                    <w:rPr>
                      <w:rFonts w:ascii="Times New Roman" w:hAnsi="Times New Roman" w:eastAsia="바탕"/>
                      <w:b/>
                      <w:sz w:val="18"/>
                    </w:rPr>
                    <w:t>General health app</w:t>
                  </w:r>
                </w:p>
              </w:tc>
              <w:tc>
                <w:tcPr>
                  <w:tcW w:type="dxa" w:w="1953"/>
                  <w:shd w:val="clear" w:fill="F2F2F2"/>
                </w:tcPr>
                <w:p>
                  <w:r>
                    <w:rPr>
                      <w:rFonts w:ascii="Times New Roman" w:hAnsi="Times New Roman" w:eastAsia="바탕"/>
                      <w:b/>
                      <w:sz w:val="18"/>
                    </w:rPr>
                    <w:t>Medication reminder app</w:t>
                  </w:r>
                </w:p>
              </w:tc>
              <w:tc>
                <w:tcPr>
                  <w:tcW w:type="dxa" w:w="1953"/>
                  <w:shd w:val="clear" w:fill="F2F2F2"/>
                </w:tcPr>
                <w:p>
                  <w:r>
                    <w:rPr>
                      <w:rFonts w:ascii="Times New Roman" w:hAnsi="Times New Roman" w:eastAsia="바탕"/>
                      <w:b/>
                      <w:sz w:val="18"/>
                    </w:rPr>
                    <w:t>USP pictogram standard</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Input</w:t>
                  </w:r>
                </w:p>
              </w:tc>
              <w:tc>
                <w:tcPr>
                  <w:tcW w:type="dxa" w:w="1953"/>
                </w:tcPr>
                <w:p>
                  <w:r>
                    <w:rPr>
                      <w:rFonts w:ascii="Times New Roman" w:hAnsi="Times New Roman" w:eastAsia="바탕"/>
                      <w:sz w:val="18"/>
                    </w:rPr>
                    <w:t>Typing and search</w:t>
                  </w:r>
                </w:p>
              </w:tc>
              <w:tc>
                <w:tcPr>
                  <w:tcW w:type="dxa" w:w="1953"/>
                </w:tcPr>
                <w:p>
                  <w:r>
                    <w:rPr>
                      <w:rFonts w:ascii="Times New Roman" w:hAnsi="Times New Roman" w:eastAsia="바탕"/>
                      <w:sz w:val="18"/>
                    </w:rPr>
                    <w:t>The person types in medicine name, dose and time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One photograph</w:t>
                  </w:r>
                </w:p>
              </w:tc>
            </w:tr>
            <w:tr>
              <w:tc>
                <w:tcPr>
                  <w:tcW w:type="dxa" w:w="1953"/>
                </w:tcPr>
                <w:p>
                  <w:r>
                    <w:rPr>
                      <w:rFonts w:ascii="Times New Roman" w:hAnsi="Times New Roman" w:eastAsia="바탕"/>
                      <w:sz w:val="18"/>
                    </w:rPr>
                    <w:t>Output</w:t>
                  </w:r>
                </w:p>
              </w:tc>
              <w:tc>
                <w:tcPr>
                  <w:tcW w:type="dxa" w:w="1953"/>
                </w:tcPr>
                <w:p>
                  <w:r>
                    <w:rPr>
                      <w:rFonts w:ascii="Times New Roman" w:hAnsi="Times New Roman" w:eastAsia="바탕"/>
                      <w:sz w:val="18"/>
                    </w:rPr>
                    <w:t>Mostly text</w:t>
                  </w:r>
                </w:p>
              </w:tc>
              <w:tc>
                <w:tcPr>
                  <w:tcW w:type="dxa" w:w="1953"/>
                </w:tcPr>
                <w:p>
                  <w:r>
                    <w:rPr>
                      <w:rFonts w:ascii="Times New Roman" w:hAnsi="Times New Roman" w:eastAsia="바탕"/>
                      <w:sz w:val="18"/>
                    </w:rPr>
                    <w:t>Notification text</w:t>
                  </w:r>
                </w:p>
              </w:tc>
              <w:tc>
                <w:tcPr>
                  <w:tcW w:type="dxa" w:w="1953"/>
                </w:tcPr>
                <w:p>
                  <w:r>
                    <w:rPr>
                      <w:rFonts w:ascii="Times New Roman" w:hAnsi="Times New Roman" w:eastAsia="바탕"/>
                      <w:sz w:val="18"/>
                    </w:rPr>
                    <w:t>81 static pictures</w:t>
                  </w:r>
                </w:p>
              </w:tc>
              <w:tc>
                <w:tcPr>
                  <w:tcW w:type="dxa" w:w="1953"/>
                </w:tcPr>
                <w:p>
                  <w:r>
                    <w:rPr>
                      <w:rFonts w:ascii="Times New Roman" w:hAnsi="Times New Roman" w:eastAsia="바탕"/>
                      <w:sz w:val="18"/>
                    </w:rPr>
                    <w:t>Composed pictogram + speech + colour</w:t>
                  </w:r>
                </w:p>
              </w:tc>
            </w:tr>
            <w:tr>
              <w:tc>
                <w:tcPr>
                  <w:tcW w:type="dxa" w:w="1953"/>
                </w:tcPr>
                <w:p>
                  <w:r>
                    <w:rPr>
                      <w:rFonts w:ascii="Times New Roman" w:hAnsi="Times New Roman" w:eastAsia="바탕"/>
                      <w:sz w:val="18"/>
                    </w:rPr>
                    <w:t>What it answers</w:t>
                  </w:r>
                </w:p>
              </w:tc>
              <w:tc>
                <w:tcPr>
                  <w:tcW w:type="dxa" w:w="1953"/>
                </w:tcPr>
                <w:p>
                  <w:r>
                    <w:rPr>
                      <w:rFonts w:ascii="Times New Roman" w:hAnsi="Times New Roman" w:eastAsia="바탕"/>
                      <w:sz w:val="18"/>
                    </w:rPr>
                    <w:t>Information for a search term</w:t>
                  </w:r>
                </w:p>
              </w:tc>
              <w:tc>
                <w:tcPr>
                  <w:tcW w:type="dxa" w:w="1953"/>
                </w:tcPr>
                <w:p>
                  <w:r>
                    <w:rPr>
                      <w:rFonts w:ascii="Times New Roman" w:hAnsi="Times New Roman" w:eastAsia="바탕"/>
                      <w:sz w:val="18"/>
                    </w:rPr>
                    <w:t>When</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What, how much, when, and what to avoid</w:t>
                  </w:r>
                </w:p>
              </w:tc>
            </w:tr>
            <w:tr>
              <w:tc>
                <w:tcPr>
                  <w:tcW w:type="dxa" w:w="1953"/>
                </w:tcPr>
                <w:p>
                  <w:r>
                    <w:rPr>
                      <w:rFonts w:ascii="Times New Roman" w:hAnsi="Times New Roman" w:eastAsia="바탕"/>
                      <w:sz w:val="18"/>
                    </w:rPr>
                    <w:t>Combination</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Prohibited by licence</w:t>
                  </w:r>
                </w:p>
              </w:tc>
              <w:tc>
                <w:tcPr>
                  <w:tcW w:type="dxa" w:w="1953"/>
                </w:tcPr>
                <w:p>
                  <w:r>
                    <w:rPr>
                      <w:rFonts w:ascii="Times New Roman" w:hAnsi="Times New Roman" w:eastAsia="바탕"/>
                      <w:sz w:val="18"/>
                    </w:rPr>
                    <w:t>Combined by grammar</w:t>
                  </w:r>
                </w:p>
              </w:tc>
            </w:tr>
            <w:tr>
              <w:tc>
                <w:tcPr>
                  <w:tcW w:type="dxa" w:w="1953"/>
                </w:tcPr>
                <w:p>
                  <w:r>
                    <w:rPr>
                      <w:rFonts w:ascii="Times New Roman" w:hAnsi="Times New Roman" w:eastAsia="바탕"/>
                      <w:sz w:val="18"/>
                    </w:rPr>
                    <w:t>Verdict threshold</w:t>
                  </w:r>
                </w:p>
              </w:tc>
              <w:tc>
                <w:tcPr>
                  <w:tcW w:type="dxa" w:w="1953"/>
                </w:tcPr>
                <w:p>
                  <w:r>
                    <w:rPr>
                      <w:rFonts w:ascii="Times New Roman" w:hAnsi="Times New Roman" w:eastAsia="바탕"/>
                      <w:sz w:val="18"/>
                    </w:rPr>
                    <w:t>Fixed table or 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Derived from personal energy requirement</w:t>
                  </w:r>
                </w:p>
              </w:tc>
            </w:tr>
            <w:tr>
              <w:tc>
                <w:tcPr>
                  <w:tcW w:type="dxa" w:w="1953"/>
                </w:tcPr>
                <w:p>
                  <w:r>
                    <w:rPr>
                      <w:rFonts w:ascii="Times New Roman" w:hAnsi="Times New Roman" w:eastAsia="바탕"/>
                      <w:sz w:val="18"/>
                    </w:rPr>
                    <w:t>Assumption</w:t>
                  </w:r>
                </w:p>
              </w:tc>
              <w:tc>
                <w:tcPr>
                  <w:tcW w:type="dxa" w:w="1953"/>
                </w:tcPr>
                <w:p>
                  <w:r>
                    <w:rPr>
                      <w:rFonts w:ascii="Times New Roman" w:hAnsi="Times New Roman" w:eastAsia="바탕"/>
                      <w:sz w:val="18"/>
                    </w:rPr>
                    <w:t>User knows their diagnosis</w:t>
                  </w:r>
                </w:p>
              </w:tc>
              <w:tc>
                <w:tcPr>
                  <w:tcW w:type="dxa" w:w="1953"/>
                </w:tcPr>
                <w:p>
                  <w:r>
                    <w:rPr>
                      <w:rFonts w:ascii="Times New Roman" w:hAnsi="Times New Roman" w:eastAsia="바탕"/>
                      <w:sz w:val="18"/>
                    </w:rPr>
                    <w:t>User can read a prescription and copy it across</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Neither diagnosis nor reading assumed</w:t>
                  </w:r>
                </w:p>
              </w:tc>
            </w:tr>
            <w:tr>
              <w:tc>
                <w:tcPr>
                  <w:tcW w:type="dxa" w:w="1953"/>
                </w:tcPr>
                <w:p>
                  <w:r>
                    <w:rPr>
                      <w:rFonts w:ascii="Times New Roman" w:hAnsi="Times New Roman" w:eastAsia="바탕"/>
                      <w:sz w:val="18"/>
                    </w:rPr>
                    <w:t>Adherence record</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The person taps to say so</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Also comes from a paired box's dispense log</w:t>
                  </w:r>
                </w:p>
              </w:tc>
            </w:tr>
            <w:tr>
              <w:tc>
                <w:tcPr>
                  <w:tcW w:type="dxa" w:w="1953"/>
                </w:tcPr>
                <w:p>
                  <w:r>
                    <w:rPr>
                      <w:rFonts w:ascii="Times New Roman" w:hAnsi="Times New Roman" w:eastAsia="바탕"/>
                      <w:sz w:val="18"/>
                    </w:rPr>
                    <w:t>Comprehension check</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Only post hoc studies</w:t>
                  </w:r>
                </w:p>
              </w:tc>
              <w:tc>
                <w:tcPr>
                  <w:tcW w:type="dxa" w:w="1953"/>
                </w:tcPr>
                <w:p>
                  <w:r>
                    <w:rPr>
                      <w:rFonts w:ascii="Times New Roman" w:hAnsi="Times New Roman" w:eastAsia="바탕"/>
                      <w:sz w:val="18"/>
                    </w:rPr>
                    <w:t>Measured automatically before release</w:t>
                  </w:r>
                </w:p>
              </w:tc>
            </w:tr>
            <w:tr>
              <w:tc>
                <w:tcPr>
                  <w:tcW w:type="dxa" w:w="1953"/>
                </w:tcPr>
                <w:p>
                  <w:r>
                    <w:rPr>
                      <w:rFonts w:ascii="Times New Roman" w:hAnsi="Times New Roman" w:eastAsia="바탕"/>
                      <w:sz w:val="18"/>
                    </w:rPr>
                    <w:t>Network</w:t>
                  </w:r>
                </w:p>
              </w:tc>
              <w:tc>
                <w:tcPr>
                  <w:tcW w:type="dxa" w:w="1953"/>
                </w:tcPr>
                <w:p>
                  <w:r>
                    <w:rPr>
                      <w:rFonts w:ascii="Times New Roman" w:hAnsi="Times New Roman" w:eastAsia="바탕"/>
                      <w:sz w:val="18"/>
                    </w:rPr>
                    <w:t>Required</w:t>
                  </w:r>
                </w:p>
              </w:tc>
              <w:tc>
                <w:tcPr>
                  <w:tcW w:type="dxa" w:w="1953"/>
                </w:tcPr>
                <w:p>
                  <w:r>
                    <w:rPr>
                      <w:rFonts w:ascii="Times New Roman" w:hAnsi="Times New Roman" w:eastAsia="바탕"/>
                      <w:sz w:val="18"/>
                    </w:rPr>
                    <w:t>Notification on device</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middle column was added because §1.13 widened the target. The moment one speaks of people who find it hard to take medicine as directed, what stands immediately alongside is the medication reminder app, and without setting down how this differs from that category, the proposal reads as one more reminder app.</w:t>
            </w:r>
          </w:p>
          <w:p>
            <w:pPr>
              <w:spacing w:after="80" w:line="276" w:lineRule="auto"/>
              <w:jc w:val="both"/>
            </w:pPr>
            <w:r>
              <w:rPr>
                <w:rFonts w:ascii="Times New Roman" w:hAnsi="Times New Roman" w:eastAsia="바탕"/>
                <w:sz w:val="20"/>
              </w:rPr>
              <w:t xml:space="preserve">There is work that actually counted that category. Across two app stores, 272 medication reminder apps were found and scored against seventeen desirable features: the median number of features per app was 3.0 (interquartile range 4.0), and only 18 apps had nine or more. The most common features were flexible scheduling at 56.3% (153/272), medication tracking history at 54.8% (149/272), a snooze option at 34.9% (95/272), and </w:t>
            </w:r>
            <w:r>
              <w:rPr>
                <w:rFonts w:ascii="Times New Roman" w:hAnsi="Times New Roman" w:eastAsia="바탕"/>
                <w:b/>
                <w:sz w:val="20"/>
              </w:rPr>
              <w:t>visual aids at 32.4% (88/272)</w:t>
            </w:r>
            <w:r>
              <w:rPr>
                <w:rFonts w:ascii="Times New Roman" w:hAnsi="Times New Roman" w:eastAsia="바탕"/>
                <w:sz w:val="20"/>
              </w:rPr>
              <w:t xml:space="preserve">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Two things go with those figures: it is from 2016 and from Australian app stores, so it cannot be said to describe the category today, and we found no more recent census than this.</w:t>
            </w:r>
          </w:p>
          <w:p>
            <w:pPr>
              <w:spacing w:after="80" w:line="276" w:lineRule="auto"/>
              <w:jc w:val="both"/>
            </w:pPr>
            <w:r>
              <w:rPr>
                <w:rFonts w:ascii="Times New Roman" w:hAnsi="Times New Roman" w:eastAsia="바탕"/>
                <w:sz w:val="20"/>
              </w:rPr>
              <w:t>Even so, what the middle column states is a difference in kind rather than in number of features. A reminder app works only after the user has typed in the medicine name, the dose and the time, which is to assume that a prescription can be read and copied across. The person this document has dealt with since §1.1 does not meet that assumption, and the people added in §1.13 are in conditions where that copying across is itself the burden. And what a reminder app answers is when, one thing, whereas the errors shown in Table 4 of §1.3 cluster into three: what, how much and when.</w:t>
            </w:r>
          </w:p>
          <w:p>
            <w:pPr>
              <w:spacing w:after="80" w:line="276" w:lineRule="auto"/>
              <w:jc w:val="both"/>
            </w:pPr>
            <w:r>
              <w:rPr>
                <w:rFonts w:ascii="Times New Roman" w:hAnsi="Times New Roman" w:eastAsia="바탕"/>
                <w:sz w:val="20"/>
              </w:rPr>
              <w:t>The heaviest row in the table is the fourth,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14]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Choosing text size and setting a picture key</w:t>
                  </w:r>
                </w:p>
              </w:tc>
              <w:tc>
                <w:tcPr>
                  <w:tcW w:type="dxa" w:w="2429"/>
                </w:tcPr>
                <w:p>
                  <w:r>
                    <w:rPr>
                      <w:rFonts w:ascii="Times New Roman" w:hAnsi="Times New Roman" w:eastAsia="바탕"/>
                      <w:sz w:val="18"/>
                    </w:rPr>
                    <w:t>Press the line you can read, tap four pictures in order</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14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asks two things and then goes straight to a screen that does something. It asks for a text size and it sets a picture key. The text size is settled by one action, "tap the smallest line you can read". Rather than reading the names of sizes and choosing among them, the user answers by tapping what is in fact legible, which is the structure of an eye chart.</w:t>
            </w:r>
          </w:p>
          <w:p>
            <w:pPr>
              <w:spacing w:after="80" w:line="276" w:lineRule="auto"/>
              <w:jc w:val="both"/>
            </w:pPr>
            <w:r>
              <w:rPr>
                <w:rFonts w:ascii="Times New Roman" w:hAnsi="Times New Roman" w:eastAsia="바탕"/>
                <w:sz w:val="20"/>
              </w:rPr>
              <w:t>Five guide cards used to stand between those two steps, and they were removed. Four of the five are already said by the screens themselves. The camera is the largest circle in the middle of the home screen; the verdict colour is shown as colour by the verdict screen; that it is judged for you is said by the person satellite and its badge; and reminders are offered on the spot when a prescription is photographed. To explain again what has been built so as to need no explanation is to say one does not believe in the building. And for the users of this app five slides are a wall to climb before starting, when those five slides were the first screen of an app that says it demands no reading.</w:t>
            </w:r>
          </w:p>
          <w:p>
            <w:pPr>
              <w:spacing w:after="80" w:line="276" w:lineRule="auto"/>
              <w:jc w:val="both"/>
            </w:pPr>
            <w:r>
              <w:rPr>
                <w:rFonts w:ascii="Times New Roman" w:hAnsi="Times New Roman" w:eastAsia="바탕"/>
                <w:sz w:val="20"/>
              </w:rPr>
              <w:t>The remaining one could not be removed. The gesture of pressing and holding text to hear it (§3.5) appears nowhere on screen. The read-aloud button in the bottom bar reads the whole screen, so sound itself is not blocked, but hearing one line again is only possible through that gesture, and wanting to hear one medicine name or one dose time again is exactly that case. So instead of removing it, it was moved to where it is used. It appears once on first arrival at the verdict screen and does not appear again. That is the first place the gesture is actually useful, and what has been learned can be tried on that same screen.</w:t>
            </w:r>
          </w:p>
          <w:p>
            <w:pPr>
              <w:spacing w:after="80" w:line="276" w:lineRule="auto"/>
              <w:jc w:val="both"/>
            </w:pPr>
            <w:r>
              <w:rPr>
                <w:rFonts w:ascii="Times New Roman" w:hAnsi="Times New Roman" w:eastAsia="바탕"/>
                <w:sz w:val="20"/>
              </w:rPr>
              <w:t>Measuring these two screens with the accessibility sweep of §4.4 caught one thing. The text-size screen has no point that reaches sound at all: no read-aloud button, no marker for sweeping to hear, no element wired to speech. What is on the screen is the sentence "tap the smallest line you can read" and five lines of that same sentence at different sizes. On the first screen this app offers to someone opening it for the first time, a person who cannot read has no route to sound.</w:t>
            </w:r>
          </w:p>
          <w:p>
            <w:pPr>
              <w:spacing w:after="80" w:line="276" w:lineRule="auto"/>
              <w:jc w:val="both"/>
            </w:pPr>
            <w:r>
              <w:rPr>
                <w:rFonts w:ascii="Times New Roman" w:hAnsi="Times New Roman" w:eastAsia="바탕"/>
                <w:sz w:val="20"/>
              </w:rPr>
              <w:t>Both why this is recorded as a defect and why the order was kept belong here. The principle of §2.1 is that reading is not required on the path to a judgement, and the instruction on this screen has to be read. The task on this screen, though, is shaped so that it can be answered without reading the instruction. The same sentence stands in five sizes with a pointing finger on the one currently chosen, so there is not much interpretation available other than pressing one of the pressable things. And no choice is a wrong answer: the size chosen can be changed in Settings at any time.</w:t>
            </w:r>
          </w:p>
          <w:p>
            <w:pPr>
              <w:spacing w:after="80" w:line="276" w:lineRule="auto"/>
              <w:jc w:val="both"/>
            </w:pPr>
            <w:r>
              <w:rPr>
                <w:rFonts w:ascii="Times New Roman" w:hAnsi="Times New Roman" w:eastAsia="바탕"/>
                <w:sz w:val="20"/>
              </w:rPr>
              <w:t>Even so, this is a place where we fall short of the standard we set ourselves. What Myojeong Choi, Researcher at the Korea Disabled People's Development Institute, raised in §5.7 was that without spoken guidance at the early steps the later procedure can be blocked, and removing the five guide cards emptied the place in front. Attaching read-aloud to this screen is not difficult and belongs to stage 4 of §5.10.</w:t>
            </w:r>
          </w:p>
          <w:p>
            <w:pPr>
              <w:spacing w:after="80" w:line="276" w:lineRule="auto"/>
              <w:jc w:val="both"/>
            </w:pPr>
            <w:r>
              <w:rPr>
                <w:rFonts w:ascii="Times New Roman" w:hAnsi="Times New Roman" w:eastAsia="바탕"/>
                <w:sz w:val="20"/>
              </w:rPr>
              <w:t>Age and conditions are set on the person screen. That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Text size. Rather than reading the name of a size, the user taps the line that is legible. (b) Picture key. Four of twelve pictures are tapped in order. (c)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It should be stated that our answer to this point has grown weaker since. When this response arrived, five guide cards stood in front of the dialogue and we took them as the answer, and for the reasons set out above those five cards were removed. What remains is that the camera screen falls back to choosing an already-taken photograph when permission is not granted, and that is a provision for after the blockage rather than guidance before it. It also remains true that from the moment the dialogue appears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15]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16]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17]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18]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19]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20]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20 dims but that the sentence does not read.</w:t>
            </w:r>
          </w:p>
          <w:p>
            <w:pPr>
              <w:spacing w:after="80" w:line="276" w:lineRule="auto"/>
              <w:jc w:val="both"/>
            </w:pPr>
            <w:r>
              <w:rPr>
                <w:rFonts w:ascii="Times New Roman" w:hAnsi="Times New Roman" w:eastAsia="바탕"/>
                <w:sz w:val="20"/>
              </w:rPr>
              <w:t xml:space="preserve">[Table 21]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21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Thirteen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xml:space="preserve">, </w:t>
            </w:r>
            <w:r>
              <w:rPr>
                <w:rFonts w:ascii="Consolas" w:hAnsi="Consolas" w:eastAsia="Consolas"/>
                <w:sz w:val="19"/>
              </w:rPr>
              <w:t>/history</w:t>
            </w:r>
            <w:r>
              <w:rPr>
                <w:rFonts w:ascii="Times New Roman" w:hAnsi="Times New Roman" w:eastAsia="바탕"/>
                <w:sz w:val="20"/>
              </w:rPr>
              <w:t xml:space="preserve">, </w:t>
            </w:r>
            <w:r>
              <w:rPr>
                <w:rFonts w:ascii="Consolas" w:hAnsi="Consolas" w:eastAsia="Consolas"/>
                <w:sz w:val="19"/>
              </w:rPr>
              <w:t>/text-size</w:t>
            </w:r>
            <w:r>
              <w:rPr>
                <w:rFonts w:ascii="Times New Roman" w:hAnsi="Times New Roman" w:eastAsia="바탕"/>
                <w:sz w:val="20"/>
              </w:rPr>
              <w:t xml:space="preserve">, </w:t>
            </w:r>
            <w:r>
              <w:rPr>
                <w:rFonts w:ascii="Consolas" w:hAnsi="Consolas" w:eastAsia="Consolas"/>
                <w:sz w:val="19"/>
              </w:rPr>
              <w:t>/login</w:t>
            </w:r>
            <w:r>
              <w:rPr>
                <w:rFonts w:ascii="Times New Roman" w:hAnsi="Times New Roman" w:eastAsia="바탕"/>
                <w:sz w:val="20"/>
              </w:rPr>
              <w:t xml:space="preserve">, </w:t>
            </w:r>
            <w:r>
              <w:rPr>
                <w:rFonts w:ascii="Consolas" w:hAnsi="Consolas" w:eastAsia="Consolas"/>
                <w:sz w:val="19"/>
              </w:rPr>
              <w:t>/camera</w:t>
            </w:r>
            <w:r>
              <w:rPr>
                <w:rFonts w:ascii="Times New Roman" w:hAnsi="Times New Roman" w:eastAsia="바탕"/>
                <w:sz w:val="20"/>
              </w:rPr>
              <w:t xml:space="preserve">, </w:t>
            </w:r>
            <w:r>
              <w:rPr>
                <w:rFonts w:ascii="Consolas" w:hAnsi="Consolas" w:eastAsia="Consolas"/>
                <w:sz w:val="19"/>
              </w:rPr>
              <w:t>/pair</w:t>
            </w:r>
            <w:r>
              <w:rPr>
                <w:rFonts w:ascii="Times New Roman" w:hAnsi="Times New Roman" w:eastAsia="바탕"/>
                <w:sz w:val="20"/>
              </w:rPr>
              <w:t>) were opened at 375 pixels wide and 178 controls counted. No unnamed controls, no horizontal scrolling, and one control below 24 pixels.</w:t>
            </w:r>
          </w:p>
          <w:p>
            <w:pPr>
              <w:spacing w:after="80" w:line="276" w:lineRule="auto"/>
              <w:jc w:val="both"/>
            </w:pPr>
            <w:r>
              <w:rPr>
                <w:rFonts w:ascii="Times New Roman" w:hAnsi="Times New Roman" w:eastAsia="바탕"/>
                <w:sz w:val="20"/>
              </w:rPr>
              <w:t xml:space="preserve">That the list changed once should be recorded. Nine screens were measured at first, </w:t>
            </w:r>
            <w:r>
              <w:rPr>
                <w:rFonts w:ascii="Consolas" w:hAnsi="Consolas" w:eastAsia="Consolas"/>
                <w:sz w:val="19"/>
              </w:rPr>
              <w:t>/onboarding</w:t>
            </w:r>
            <w:r>
              <w:rPr>
                <w:rFonts w:ascii="Times New Roman" w:hAnsi="Times New Roman" w:eastAsia="바탕"/>
                <w:sz w:val="20"/>
              </w:rPr>
              <w:t xml:space="preserve"> among them, and that address disappeared when the five guide cards were removed (§3.2). The sweep did not report this and was measuring a 404 page. The removed screen was taken out of the list and five screens built since were added, making thirteen.</w:t>
            </w:r>
          </w:p>
          <w:p>
            <w:pPr>
              <w:spacing w:after="80" w:line="276" w:lineRule="auto"/>
              <w:jc w:val="both"/>
            </w:pPr>
            <w:r>
              <w:rPr>
                <w:rFonts w:ascii="Times New Roman" w:hAnsi="Times New Roman" w:eastAsia="바탕"/>
                <w:sz w:val="20"/>
              </w:rPr>
              <w:t xml:space="preserve">One false positive from the sweep itself was fixed too. Two unnamed controls were reported on </w:t>
            </w:r>
            <w:r>
              <w:rPr>
                <w:rFonts w:ascii="Consolas" w:hAnsi="Consolas" w:eastAsia="Consolas"/>
                <w:sz w:val="19"/>
              </w:rPr>
              <w:t>/device</w:t>
            </w:r>
            <w:r>
              <w:rPr>
                <w:rFonts w:ascii="Times New Roman" w:hAnsi="Times New Roman" w:eastAsia="바탕"/>
                <w:sz w:val="20"/>
              </w:rPr>
              <w:t xml:space="preserve">, and both were links inside a collapsed </w:t>
            </w:r>
            <w:r>
              <w:rPr>
                <w:rFonts w:ascii="Consolas" w:hAnsi="Consolas" w:eastAsia="Consolas"/>
                <w:sz w:val="19"/>
              </w:rPr>
              <w:t>&lt;details&gt;</w:t>
            </w:r>
            <w:r>
              <w:rPr>
                <w:rFonts w:ascii="Times New Roman" w:hAnsi="Times New Roman" w:eastAsia="바탕"/>
                <w:sz w:val="20"/>
              </w:rPr>
              <w:t xml:space="preserve">. While collapsed, </w:t>
            </w:r>
            <w:r>
              <w:rPr>
                <w:rFonts w:ascii="Consolas" w:hAnsi="Consolas" w:eastAsia="Consolas"/>
                <w:sz w:val="19"/>
              </w:rPr>
              <w:t>innerText</w:t>
            </w:r>
            <w:r>
              <w:rPr>
                <w:rFonts w:ascii="Times New Roman" w:hAnsi="Times New Roman" w:eastAsia="바탕"/>
                <w:sz w:val="20"/>
              </w:rPr>
              <w:t xml:space="preserve"> is empty so they look unnamed, but they are links with text on them, and while collapsed they reach neither the screen nor assistive technology, so they were never something to measure. The sweep was changed to skip inside a collapsed </w:t>
            </w:r>
            <w:r>
              <w:rPr>
                <w:rFonts w:ascii="Consolas" w:hAnsi="Consolas" w:eastAsia="Consolas"/>
                <w:sz w:val="19"/>
              </w:rPr>
              <w:t>&lt;details&gt;</w:t>
            </w:r>
            <w:r>
              <w:rPr>
                <w:rFonts w:ascii="Times New Roman" w:hAnsi="Times New Roman" w:eastAsia="바탕"/>
                <w:sz w:val="20"/>
              </w:rPr>
              <w:t>. As has happened several times elsewhere in this document, a check whose subject is not verified manufactures a defect that is not there.</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The icons on screen are a matter for this section as well. Emoji were used at first and all of them were replaced with drawings of our own. Emoji are not drawn by us, so they look different on every device, and the same pill emoji reads as a different object on Android and on iOS. Their size and optical weight are not ours to set, and placed side by side they put a row of things drawn by different hands on one line.</w:t>
            </w:r>
          </w:p>
          <w:p>
            <w:pPr>
              <w:spacing w:after="80" w:line="276" w:lineRule="auto"/>
              <w:jc w:val="both"/>
            </w:pPr>
            <w:r>
              <w:rPr>
                <w:rFonts w:ascii="Times New Roman" w:hAnsi="Times New Roman" w:eastAsia="바탕"/>
                <w:sz w:val="20"/>
              </w:rPr>
              <w:t>What was settled in replacing them was the filled silhouette, and the grounds for that choice are the argument of this section. A filled circle of radius 29 is 2,629 pixels, while an outlined triangle in the same place is 1,127. Only that difference in mass, more than twofold, survives across a room and remains for someone who cannot tell the colours apart. The thin-line icons now common are the opposite case, because a line is the first thing to go as things get smaller. The device screen already uses the same grammar, so an app that follows it puts box and app in one language.</w:t>
            </w:r>
          </w:p>
          <w:p>
            <w:pPr>
              <w:spacing w:after="80" w:line="276" w:lineRule="auto"/>
              <w:jc w:val="both"/>
            </w:pPr>
            <w:r>
              <w:rPr>
                <w:rFonts w:ascii="Times New Roman" w:hAnsi="Times New Roman" w:eastAsia="바탕"/>
                <w:sz w:val="20"/>
              </w:rPr>
              <w:t xml:space="preserve">There are four rules for drawing. Coordinates are placed only on a 24 grid, </w:t>
            </w:r>
            <w:r>
              <w:rPr>
                <w:rFonts w:ascii="Consolas" w:hAnsi="Consolas" w:eastAsia="Consolas"/>
                <w:sz w:val="19"/>
              </w:rPr>
              <w:t>stroke</w:t>
            </w:r>
            <w:r>
              <w:rPr>
                <w:rFonts w:ascii="Times New Roman" w:hAnsi="Times New Roman" w:eastAsia="바탕"/>
                <w:sz w:val="20"/>
              </w:rPr>
              <w:t xml:space="preserve"> is not used, colour is </w:t>
            </w:r>
            <w:r>
              <w:rPr>
                <w:rFonts w:ascii="Consolas" w:hAnsi="Consolas" w:eastAsia="Consolas"/>
                <w:sz w:val="19"/>
              </w:rPr>
              <w:t>currentColor</w:t>
            </w:r>
            <w:r>
              <w:rPr>
                <w:rFonts w:ascii="Times New Roman" w:hAnsi="Times New Roman" w:eastAsia="바탕"/>
                <w:sz w:val="20"/>
              </w:rPr>
              <w:t xml:space="preserve"> alone, and holes are cut with </w:t>
            </w:r>
            <w:r>
              <w:rPr>
                <w:rFonts w:ascii="Consolas" w:hAnsi="Consolas" w:eastAsia="Consolas"/>
                <w:sz w:val="19"/>
              </w:rPr>
              <w:t>evenodd</w:t>
            </w:r>
            <w:r>
              <w:rPr>
                <w:rFonts w:ascii="Times New Roman" w:hAnsi="Times New Roman" w:eastAsia="바탕"/>
                <w:sz w:val="20"/>
              </w:rPr>
              <w:t>. The second and third join up with other decisions in this app. In an app that changes text size across five steps, wobble in line weight is actually visible, and a colour baked into each drawing leaves the drawings in daylight when the palette goes dark.</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22]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p>
            <w:pPr>
              <w:spacing w:before="180" w:after="40"/>
            </w:pPr>
            <w:r>
              <w:rPr>
                <w:rFonts w:ascii="Times New Roman" w:hAnsi="Times New Roman" w:eastAsia="바탕"/>
                <w:b/>
                <w:sz w:val="23"/>
              </w:rPr>
              <w:t>3.9 Medication routine and the last four weeks</w:t>
            </w:r>
          </w:p>
          <w:p>
            <w:pPr>
              <w:spacing w:after="80" w:line="276" w:lineRule="auto"/>
              <w:jc w:val="both"/>
            </w:pPr>
            <w:r>
              <w:rPr>
                <w:rFonts w:ascii="Times New Roman" w:hAnsi="Times New Roman" w:eastAsia="바탕"/>
                <w:sz w:val="20"/>
              </w:rPr>
              <w:t>The eight preceding sections dealt with a single verdict. Photograph, look, close. What the broadened target of §1.13 lacks, though, is not that single verdict. Unless it is recorded whether last night's dose was taken, whether weekends are the ones that get missed, and when the missing began, no verdict however good will hold a routine together.</w:t>
            </w:r>
          </w:p>
          <w:p>
            <w:pPr>
              <w:spacing w:after="80" w:line="276" w:lineRule="auto"/>
              <w:jc w:val="both"/>
            </w:pPr>
            <w:r>
              <w:rPr>
                <w:rFonts w:ascii="Times New Roman" w:hAnsi="Times New Roman" w:eastAsia="바탕"/>
                <w:sz w:val="20"/>
              </w:rPr>
              <w:t>This app leaves a record with every scan: what was eaten, what it was found to contain at the time, and, where a box has been paired, whether the medicine was taken or missed. The questions that record can answer are the ones actually asked in a consulting room. What did you eat on the day the rash appeared? When did you start missing doses? Human memory does not answer these, and less so for someone who cannot write things down. Yet the only places to look back at that record were four recent lines on the home screen and today's running total on the nutrition screen. It was data piled up and read by no one.</w:t>
            </w:r>
          </w:p>
          <w:p>
            <w:pPr>
              <w:spacing w:after="80" w:line="276" w:lineRule="auto"/>
              <w:jc w:val="both"/>
            </w:pPr>
            <w:r>
              <w:rPr>
                <w:rFonts w:ascii="Times New Roman" w:hAnsi="Times New Roman" w:eastAsia="바탕"/>
                <w:sz w:val="20"/>
              </w:rPr>
              <w:t>The screen has three parts from top to bottom.</w:t>
            </w:r>
          </w:p>
          <w:p>
            <w:pPr>
              <w:spacing w:after="80" w:line="276" w:lineRule="auto"/>
              <w:jc w:val="both"/>
            </w:pPr>
            <w:r>
              <w:rPr>
                <w:rFonts w:ascii="Times New Roman" w:hAnsi="Times New Roman" w:eastAsia="바탕"/>
                <w:sz w:val="20"/>
              </w:rPr>
              <w:t>[Table 23] The parts of the past-days screen and why each sits where it does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What is there</w:t>
                  </w:r>
                </w:p>
              </w:tc>
              <w:tc>
                <w:tcPr>
                  <w:tcW w:type="dxa" w:w="3238"/>
                  <w:shd w:val="clear" w:fill="F2F2F2"/>
                </w:tcPr>
                <w:p>
                  <w:r>
                    <w:rPr>
                      <w:rFonts w:ascii="Times New Roman" w:hAnsi="Times New Roman" w:eastAsia="바탕"/>
                      <w:b/>
                      <w:sz w:val="18"/>
                    </w:rPr>
                    <w:t>Why here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The medication routine as currently set: for each medicine, the next dose time and how many times a day</w:t>
                  </w:r>
                </w:p>
              </w:tc>
              <w:tc>
                <w:tcPr>
                  <w:tcW w:type="dxa" w:w="3238"/>
                </w:tcPr>
                <w:p>
                  <w:r>
                    <w:rPr>
                      <w:rFonts w:ascii="Times New Roman" w:hAnsi="Times New Roman" w:eastAsia="바탕"/>
                      <w:sz w:val="18"/>
                    </w:rPr>
                    <w:t>It has to come before the calendar below. Two empty cells mean a whole day skipped on a twice-daily prescription and one late dose on a five-times-daily one. Without knowing what should have happened, the same picture means different things</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A four-week calendar. One day is one cell and one bar inside a cell is one dose. A filled bar was taken, an outlined bar was missed</w:t>
                  </w:r>
                </w:p>
              </w:tc>
              <w:tc>
                <w:tcPr>
                  <w:tcW w:type="dxa" w:w="3238"/>
                </w:tcPr>
                <w:p>
                  <w:r>
                    <w:rPr>
                      <w:rFonts w:ascii="Times New Roman" w:hAnsi="Times New Roman" w:eastAsia="바탕"/>
                      <w:sz w:val="18"/>
                    </w:rPr>
                    <w:t>One week cannot be read by weekday. Each weekday appears only once, so "it is always the weekend" cannot be told apart from a single coincidence. Over four weeks the same weekday lines up four times, and only then does a vertical column mean something. Beyond that the cells get too small on a phone</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A gauge, showing as the length of a bar how much of the four weeks was filled, split into one row per medicine</w:t>
                  </w:r>
                </w:p>
              </w:tc>
              <w:tc>
                <w:tcPr>
                  <w:tcW w:type="dxa" w:w="3238"/>
                </w:tcPr>
                <w:p>
                  <w:r>
                    <w:rPr>
                      <w:rFonts w:ascii="Times New Roman" w:hAnsi="Times New Roman" w:eastAsia="바탕"/>
                      <w:sz w:val="18"/>
                    </w:rPr>
                    <w:t>The calendar and the gauge answer different questions. The calendar shows which days were missed, the gauge how much of the whole was filled. And one combined number cannot point at what to fix. If ten of eighty-three doses were missed, ten piled onto one medicine means that medicine is the problem while ten scattered across means the habit is, and the two call for different things. The questions asked in a consulting room are per medicine too</w:t>
                  </w:r>
                </w:p>
              </w:tc>
            </w:tr>
          </w:tbl>
          <w:p/>
          <w:p>
            <w:pPr>
              <w:spacing w:after="120"/>
            </w:pPr>
          </w:p>
          <w:p>
            <w:pPr>
              <w:spacing w:after="80" w:line="276" w:lineRule="auto"/>
              <w:jc w:val="both"/>
            </w:pPr>
            <w:r>
              <w:rPr>
                <w:rFonts w:ascii="Times New Roman" w:hAnsi="Times New Roman" w:eastAsia="바탕"/>
                <w:sz w:val="20"/>
              </w:rPr>
              <w:t>Medication is at the top because the urgency differs. Food can be known a day late; medicine has to be known this evening.</w:t>
            </w:r>
          </w:p>
          <w:p>
            <w:pPr>
              <w:spacing w:after="80" w:line="276" w:lineRule="auto"/>
              <w:jc w:val="both"/>
            </w:pPr>
            <w:r>
              <w:rPr>
                <w:rFonts w:ascii="Times New Roman" w:hAnsi="Times New Roman" w:eastAsia="바탕"/>
                <w:sz w:val="20"/>
              </w:rPr>
              <w:t>No percentage is written large on this screen. The number 86% does not arrive for someone who cannot read numbers, and that person is the user this app took as its standard (§1.13). So the same thing is drawn instead. Whether a cell is empty can be counted, and how far a bar has filled can be judged by eye. Neither passes through reading.</w:t>
            </w:r>
          </w:p>
          <w:p>
            <w:pPr>
              <w:spacing w:after="80" w:line="276" w:lineRule="auto"/>
              <w:jc w:val="both"/>
            </w:pPr>
            <w:r>
              <w:rPr>
                <w:rFonts w:ascii="Times New Roman" w:hAnsi="Times New Roman" w:eastAsia="바탕"/>
                <w:sz w:val="20"/>
              </w:rPr>
              <w:t>What groups the gauges is worth noting as well: not the name of a medicine but the tray layer in the box. What the box reports is the layer, and the name is something the app attaches from the prescription, so it may be absent. This machine also stacks its trays in layers, so when the screen speaks in layers that leads straight into opening the box and looking at that layer. The place on the screen and the place the hand reaches point at the same thing.</w:t>
            </w:r>
          </w:p>
          <w:p>
            <w:pPr>
              <w:spacing w:after="80" w:line="276" w:lineRule="auto"/>
              <w:jc w:val="both"/>
            </w:pPr>
            <w:r>
              <w:rPr>
                <w:rFonts w:ascii="Times New Roman" w:hAnsi="Times New Roman" w:eastAsia="바탕"/>
                <w:sz w:val="20"/>
              </w:rPr>
              <w:t>The calendar shows four weeks but the window can be moved. There are two arrows and no date picker, because offering a date picker to someone who came to look at a calendar amounts to handing them a second calendar. Moving forward stops at today. The future is an empty grid, and a button that does nothing when pressed reads as broken. Moving the window does not move the "today" marker, which stays on the real today. If some past day were marked as today on a paged-back screen, that screen would be lying.</w:t>
            </w:r>
          </w:p>
          <w:p>
            <w:pPr>
              <w:spacing w:after="80" w:line="276" w:lineRule="auto"/>
              <w:jc w:val="both"/>
            </w:pPr>
            <w:r>
              <w:rPr>
                <w:rFonts w:ascii="Times New Roman" w:hAnsi="Times New Roman" w:eastAsia="바탕"/>
                <w:sz w:val="20"/>
              </w:rPr>
              <w:t>There is no list laying out the records day by day. There was one and it was taken out. Showing records back one at a time is not what this app does with that data. The calendar, the gauge, what is suspected and how the body responded all come out of it. The list only added twenty-eight more rows on top, and after a few months it becomes a wall nobody scrolls.</w:t>
            </w:r>
          </w:p>
          <w:p>
            <w:pPr>
              <w:spacing w:after="80" w:line="276" w:lineRule="auto"/>
              <w:jc w:val="both"/>
            </w:pPr>
            <w:r>
              <w:rPr>
                <w:rFonts w:ascii="Times New Roman" w:hAnsi="Times New Roman" w:eastAsia="바탕"/>
                <w:sz w:val="20"/>
              </w:rPr>
              <w:t>This is why the screen spans several conditions in Table 7 of §1.13. What someone carrying a load on executive function needs is "what do I take now", and that is the first part. What someone with damage to memory needs is "did I already take it", and that is the second. What the consulting room needs is "when did the missing start", and that is the third. One screen answers three questions, and it was built so that those answers are not obtained by reading. The difference between a filled bar and an empty one is not a letter, and the shape of a column going blank is seen rather than read.</w:t>
            </w:r>
          </w:p>
          <w:p>
            <w:pPr>
              <w:spacing w:after="80" w:line="276" w:lineRule="auto"/>
              <w:jc w:val="both"/>
            </w:pPr>
            <w:r>
              <w:rPr>
                <w:rFonts w:ascii="Times New Roman" w:hAnsi="Times New Roman" w:eastAsia="바탕"/>
                <w:sz w:val="20"/>
              </w:rPr>
              <w:t>The screen does lean on the picture and colour layers of §2.1, with speech carried by the read-aloud button on each card. Medicine names and times do appear as text, and the principle of §2.1 holds here as elsewhere: this app did not erase text from the screen, it removed anything that can only be known by reading. What the calendar conveys is a shape rather than a name.</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The medication routine and the last four weeks. The card at the top is what is currently set; in the calendar one day is one cell and one bar inside a cell is one dose. A filled bar was taken, an outlined one missed. The bars below are the adherence rate per medicine, and the sentence at the bottom puts the same thing into words. Below the red line, scrolling is required.</w:t>
            </w:r>
          </w:p>
          <w:p>
            <w:pPr>
              <w:spacing w:after="80" w:line="276" w:lineRule="auto"/>
              <w:jc w:val="both"/>
            </w:pPr>
            <w:r>
              <w:rPr>
                <w:rFonts w:ascii="Times New Roman" w:hAnsi="Times New Roman" w:eastAsia="바탕"/>
                <w:sz w:val="20"/>
              </w:rPr>
              <w:t>The screen says one more sentence at the end: that of eighty-three doses ten were missed, and the time most often missed was seven in the evening. It was said above that a vertical column in the calendar comes to mean something, and what is read from that column the screen also sends out in words. The three layers of §2.1, where speech remains for someone who could not read the picture, appear on this screen in that form.</w:t>
            </w:r>
          </w:p>
          <w:p>
            <w:pPr>
              <w:spacing w:after="80" w:line="276" w:lineRule="auto"/>
              <w:jc w:val="both"/>
            </w:pPr>
            <w:r>
              <w:rPr>
                <w:rFonts w:ascii="Times New Roman" w:hAnsi="Times New Roman" w:eastAsia="바탕"/>
                <w:sz w:val="20"/>
              </w:rPr>
              <w:t>The limits of this screen are written by the screen itself. The bottom line says that this count comes from the pill box alone and that medicines taken without it are not in the number. The counting is deliberately narrow. What reaches this calendar is only the doses a paired box reported. When the box offered a tray and nobody pressed, that arrives as missed; when someone pressed, it arrives as taken. Records a person left by photographing are not in this number, and not because they cannot be counted but because they must not be. A hand-left record says only that a dose was taken and never that one was missed, since nobody opens the app on the day they skip. Put those in the denominator and adherence is always 100%. So for a user without a box this calendar is empty, and it is drawn not at all rather than shown as 0%. Were that limit written only in this document and hidden on the screen, users would read their own adherence as lower than it is. So it is written on the screen, and the same item is also among the unverified items in §5.9.</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24]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25]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26]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27]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27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27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27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28]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28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 xml:space="preserve">The list of shell paths joining the condition that catches page requests is a correction of the same kind. At first only the request's </w:t>
            </w:r>
            <w:r>
              <w:rPr>
                <w:rFonts w:ascii="Consolas" w:hAnsi="Consolas" w:eastAsia="Consolas"/>
                <w:sz w:val="19"/>
              </w:rPr>
              <w:t>mode</w:t>
            </w:r>
            <w:r>
              <w:rPr>
                <w:rFonts w:ascii="Times New Roman" w:hAnsi="Times New Roman" w:eastAsia="바탕"/>
                <w:sz w:val="20"/>
              </w:rPr>
              <w:t xml:space="preserve"> was checked for </w:t>
            </w:r>
            <w:r>
              <w:rPr>
                <w:rFonts w:ascii="Consolas" w:hAnsi="Consolas" w:eastAsia="Consolas"/>
                <w:sz w:val="19"/>
              </w:rPr>
              <w:t>navigate</w:t>
            </w:r>
            <w:r>
              <w:rPr>
                <w:rFonts w:ascii="Times New Roman" w:hAnsi="Times New Roman" w:eastAsia="바탕"/>
                <w:sz w:val="20"/>
              </w:rPr>
              <w:t xml:space="preserve">, but offline warm-up fetches page HTML with </w:t>
            </w:r>
            <w:r>
              <w:rPr>
                <w:rFonts w:ascii="Consolas" w:hAnsi="Consolas" w:eastAsia="Consolas"/>
                <w:sz w:val="19"/>
              </w:rPr>
              <w:t>fetch('/nutrition')</w:t>
            </w:r>
            <w:r>
              <w:rPr>
                <w:rFonts w:ascii="Times New Roman" w:hAnsi="Times New Roman" w:eastAsia="바탕"/>
                <w:sz w:val="20"/>
              </w:rPr>
              <w:t xml:space="preserve">, and that request's </w:t>
            </w:r>
            <w:r>
              <w:rPr>
                <w:rFonts w:ascii="Consolas" w:hAnsi="Consolas" w:eastAsia="Consolas"/>
                <w:sz w:val="19"/>
              </w:rPr>
              <w:t>mode</w:t>
            </w:r>
            <w:r>
              <w:rPr>
                <w:rFonts w:ascii="Times New Roman" w:hAnsi="Times New Roman" w:eastAsia="바탕"/>
                <w:sz w:val="20"/>
              </w:rPr>
              <w:t xml:space="preserve"> is </w:t>
            </w:r>
            <w:r>
              <w:rPr>
                <w:rFonts w:ascii="Consolas" w:hAnsi="Consolas" w:eastAsia="Consolas"/>
                <w:sz w:val="19"/>
              </w:rPr>
              <w:t>cors</w:t>
            </w:r>
            <w:r>
              <w:rPr>
                <w:rFonts w:ascii="Times New Roman" w:hAnsi="Times New Roman" w:eastAsia="바탕"/>
                <w:sz w:val="20"/>
              </w:rPr>
              <w:t xml:space="preserve"> rather than </w:t>
            </w:r>
            <w:r>
              <w:rPr>
                <w:rFonts w:ascii="Consolas" w:hAnsi="Consolas" w:eastAsia="Consolas"/>
                <w:sz w:val="19"/>
              </w:rPr>
              <w:t>navigate</w:t>
            </w:r>
            <w:r>
              <w:rPr>
                <w:rFonts w:ascii="Times New Roman" w:hAnsi="Times New Roman" w:eastAsia="바탕"/>
                <w:sz w:val="20"/>
              </w:rPr>
              <w:t xml:space="preserve">. The pages warm-up brought back were therefore stored nowhere and simply went out to the network. Because the HTML cached at install time was there it worked on the surface, so the defect would only have surfaced the moment a new page was added to the list, and that page alone would have quietly dropped out of offline use. The same line fixed </w:t>
            </w:r>
            <w:r>
              <w:rPr>
                <w:rFonts w:ascii="Consolas" w:hAnsi="Consolas" w:eastAsia="Consolas"/>
                <w:sz w:val="19"/>
              </w:rPr>
              <w:t>manifest.webmanifest</w:t>
            </w:r>
            <w:r>
              <w:rPr>
                <w:rFonts w:ascii="Times New Roman" w:hAnsi="Times New Roman" w:eastAsia="바탕"/>
                <w:sz w:val="20"/>
              </w:rPr>
              <w:t xml:space="preserve"> as well: it sat in the shell yet matched no rule, so with the file in cache the worker still went to the network and failed.</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29]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second row of the table has a correction in it as well. Ninety-day retention was written down while records were in fact being cut off at 200. Someone using the box takes in two or three dose records a day before meals are added, so 200 fills up in about forty days. For as long as the document said ninety days the actual retention was forty, and because nothing marks that a record was cut, a person looking for something from two months ago learns instead that they did not use the app that day. The cap was raised to 1,500 so that the date limit binds first. The cap was not removed, because it is a ceiling on storage rather than a floor under the retention period: a date cannot stop browser storage from filling when records run away.</w:t>
            </w: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30]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31]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pass · 0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742</w:t>
                  </w:r>
                </w:p>
              </w:tc>
              <w:tc>
                <w:tcPr>
                  <w:tcW w:type="dxa" w:w="2429"/>
                </w:tcPr>
                <w:p>
                  <w:r>
                    <w:rPr>
                      <w:rFonts w:ascii="Times New Roman" w:hAnsi="Times New Roman" w:eastAsia="바탕"/>
                      <w:sz w:val="18"/>
                    </w:rPr>
                    <w:t>654 pass · 88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4 August 2026. The previous version had a single web-app failure here, and how it was fixed is left below as it stands.</w:t>
            </w:r>
          </w:p>
          <w:p>
            <w:pPr>
              <w:spacing w:after="80" w:line="276" w:lineRule="auto"/>
              <w:jc w:val="both"/>
            </w:pPr>
            <w:r>
              <w:rPr>
                <w:rFonts w:ascii="Times New Roman" w:hAnsi="Times New Roman" w:eastAsia="바탕"/>
                <w:sz w:val="20"/>
              </w:rPr>
              <w:t xml:space="preserve">What failed was </w:t>
            </w:r>
            <w:r>
              <w:rPr>
                <w:rFonts w:ascii="Consolas" w:hAnsi="Consolas" w:eastAsia="Consolas"/>
                <w:sz w:val="19"/>
              </w:rPr>
              <w:t>pill_dispenser/webapp_kit/tests/kit.test.ts</w:t>
            </w:r>
            <w:r>
              <w:rPr>
                <w:rFonts w:ascii="Times New Roman" w:hAnsi="Times New Roman" w:eastAsia="바탕"/>
                <w:sz w:val="20"/>
              </w:rPr>
              <w:t xml:space="preserve">, and the cause lay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was set down because something heavier than one failure rode along with it. Since the file never loaded, </w:t>
            </w:r>
            <w:r>
              <w:rPr>
                <w:rFonts w:ascii="Times New Roman" w:hAnsi="Times New Roman" w:eastAsia="바탕"/>
                <w:b/>
                <w:sz w:val="20"/>
              </w:rPr>
              <w:t>not one</w:t>
            </w:r>
            <w:r>
              <w:rPr>
                <w:rFonts w:ascii="Times New Roman" w:hAnsi="Times New Roman" w:eastAsia="바탕"/>
                <w:sz w:val="20"/>
              </w:rPr>
              <w:t xml:space="preserve"> of the tests inside it ran. The total at that time did not count that file's tests, so what looked like a single failure was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This passage is kept rather than deleted because how it ended attaches here. Replacing the constructor parameter property with a declared and assigned field made the file load, and the 30 tests inside came back and all passed. We ran them to check. The 589 in the table above includes those 30. Because the failure was written down, its fix can be written down too, and this document has now met twice the case of a test that looked green while being empty, and written it down both times.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twenty-five tests quietly disappeared, because three files stop at an import of </w:t>
            </w:r>
            <w:r>
              <w:rPr>
                <w:rFonts w:ascii="Consolas" w:hAnsi="Consolas" w:eastAsia="Consolas"/>
                <w:sz w:val="19"/>
              </w:rPr>
              <w:t>zustand</w:t>
            </w:r>
            <w:r>
              <w:rPr>
                <w:rFonts w:ascii="Times New Roman" w:hAnsi="Times New Roman" w:eastAsia="바탕"/>
                <w:sz w:val="20"/>
              </w:rPr>
              <w:t>. That measurement was taken when the total was lower than it is now and has not been repeated since, so this document does not know how many disappear today. Only the fact that they disappear, and the reason, are unchanged.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32]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33]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34]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35]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36]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37]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38]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39]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40]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41]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after="80" w:line="276" w:lineRule="auto"/>
              <w:jc w:val="both"/>
            </w:pPr>
            <w:r>
              <w:rPr>
                <w:rFonts w:ascii="Times New Roman" w:hAnsi="Times New Roman" w:eastAsia="바탕"/>
                <w:sz w:val="20"/>
              </w:rPr>
              <w:t>What was asked about should be stated here as well. §1.13 sets out eleven conditions as the target of this app, and what this survey asked about is not all of them but the condition taken as the design standard, namely a person who cannot read. We did not ask how these screens would be for someone with attention deficit hyperactivity disorder or autism. One harshest condition was fixed and the questions were about that condition, and if the containment of §1.13 holds then those answers reach some way into the other conditions, but how far they reach is not something this survey measured.</w:t>
            </w:r>
          </w:p>
          <w:p>
            <w:pPr>
              <w:spacing w:after="80" w:line="276" w:lineRule="auto"/>
              <w:jc w:val="both"/>
            </w:pPr>
            <w:r>
              <w:rPr>
                <w:rFonts w:ascii="Times New Roman" w:hAnsi="Times New Roman" w:eastAsia="바탕"/>
                <w:sz w:val="20"/>
              </w:rPr>
              <w:t>The list was not drawn on that one condition alone, though. Two of the eight fields in Table 43 are AAC and special education, and adult literacy education, and among the 39 who actually responded, E. A. Draffan, retired speech and language therapist and visiting fellow in accessibility at Global Symbols and the University of Southampton; Raisa Kravchenko, Deputy Director of the All Ukrainian NGO Coalition for Persons with Intellectual Disabilities; Professor Youngmee Lee of the Department of Communication Disorders at Ewha Womans University; Professor Eunkyung Kim of Kongju National University; and Myojeong Choi, Researcher, and Kyoungseo Park, Assistant Manager, of the Korea Disabled People's Development Institute all hold posts that deal with intellectual disability, autism and communication disorders. Associate Professor Rahul Malhotra of Duke-NUS is a researcher on ageing. What they answered were questions about low-literacy users, but the people who wrote those answers already overlap with the conditions §1.13 widened to.</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42]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43]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44]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45]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46]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47]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43.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48]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21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171537"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171537"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before the survey to 589 (Table 31).</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percentage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48,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49]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3.9</w:t>
                  </w:r>
                  <w:r>
                    <w:rPr>
                      <w:rFonts w:ascii="Times New Roman" w:hAnsi="Times New Roman" w:eastAsia="바탕"/>
                      <w:sz w:val="18"/>
                    </w:rPr>
                    <w:t xml:space="preserve"> Reduce deaths and illnesses from hazardous substances</w:t>
                  </w:r>
                </w:p>
              </w:tc>
              <w:tc>
                <w:tcPr>
                  <w:tcW w:type="dxa" w:w="4857"/>
                </w:tcPr>
                <w:p>
                  <w:r>
                    <w:rPr>
                      <w:rFonts w:ascii="Times New Roman" w:hAnsi="Times New Roman" w:eastAsia="바탕"/>
                      <w:sz w:val="18"/>
                    </w:rPr>
                    <w:t>Dose and dose time are conveyed by picture, which reduces wrong amounts, and a paired box keeps the medicine inside and releases it only within a dose window. We have measured nothing against this target, however</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Only 3.9 in that table is of a different character, so it is dealt with first. Indicator 3.9.3 of that target is the mortality rate attributed to unintentional poisoning, and overdosing on medicines falls within it. There are two routes by which this app reaches that place, and both are indirect. One is that the single dose and the dose time are conveyed as pictures rather than letters, which reduces wrong amounts (§2.2). The other is that a paired box keeps the medicine inside and releases it only within a dose window (§4.3). What we did not do belongs here as well. No child lock was built, and there is no morpheme in the set meaning keep out of reach of children. And for this target there is no measured figure of the kind §5.1 produced. This row states a direction of contribution rather than a measured one.</w:t>
            </w: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47]</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10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after="80" w:line="276" w:lineRule="auto"/>
              <w:jc w:val="both"/>
            </w:pPr>
            <w:r>
              <w:rPr>
                <w:rFonts w:ascii="Times New Roman" w:hAnsi="Times New Roman" w:eastAsia="바탕"/>
                <w:sz w:val="20"/>
              </w:rPr>
              <w:t>Thirteenth, nothing was measured under the widened conditions. §1.13 sets out eleven conditions as the target of this app, and four of them rest on a shared mechanism alone: dyslexia, Alzheimer's disease and memory disorders, autism and intellectual disability, and misuse by children. We have never had a person with those conditions use this app, and the expert survey of §5.7 asked about the single condition taken as the design standard. A shared mechanism speaks to the possibility that the same screen works, not to its having worked. What makes this different in kind from the twelve items above is that it is not something we failed to measure but the scope we have newly claimed. The claim widened, so what has to be measured widened with it, and it has not been measured yet.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What stage 6 would measure belongs here as well. The direct approach is to compare medication-taking over four weeks with and without this app, and that requires a control group, a period and ethical review, so it is out of our reach. What we can do is give one task and measure whether it was carried through and how long it took: photograph one prescription and say what is to be taken today, at what time and how many, which is the same kind of measurement the studies cited in §1.10 used. What such a measurement measures is whether the screen arrived, not whether the person took the medicine, and that distinction is the same one set down at the head of §5.7.</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50]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Use testing under the widened conditions</w:t>
                  </w:r>
                </w:p>
              </w:tc>
              <w:tc>
                <w:tcPr>
                  <w:tcW w:type="dxa" w:w="3238"/>
                </w:tcPr>
                <w:p>
                  <w:r>
                    <w:rPr>
                      <w:rFonts w:ascii="Times New Roman" w:hAnsi="Times New Roman" w:eastAsia="바탕"/>
                      <w:sz w:val="18"/>
                    </w:rPr>
                    <w:t>Answers the four conditions in Table 7 of §1.13 and the thirteenth item of §5.9. The first question is whether the routine screen of §3.9 in fact works for users carrying a load on executive function</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43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2026-08-04T10:35:05Z</dcterms:modified>
  <cp:contentStatus>src:424b4c39e315</cp:contentStatus>
</cp:coreProperties>
</file>