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80" w:line="276" w:lineRule="auto"/>
              <w:jc w:val="both"/>
            </w:pPr>
            <w:r>
              <w:rPr>
                <w:rFonts w:ascii="Times New Roman" w:hAnsi="Times New Roman" w:eastAsia="바탕"/>
                <w:b/>
                <w:sz w:val="20"/>
              </w:rPr>
              <w:t>[Figure 1]</w:t>
            </w:r>
            <w:r>
              <w:rPr>
                <w:rFonts w:ascii="Times New Roman" w:hAnsi="Times New Roman" w:eastAsia="바탕"/>
                <w:sz w:val="20"/>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b/>
                <w:sz w:val="20"/>
              </w:rPr>
              <w:t>[Figure 2]</w:t>
            </w:r>
            <w:r>
              <w:rPr>
                <w:rFonts w:ascii="Times New Roman" w:hAnsi="Times New Roman" w:eastAsia="바탕"/>
                <w:sz w:val="20"/>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b/>
                <w:sz w:val="20"/>
              </w:rPr>
              <w:t>[Figure 3]</w:t>
            </w:r>
            <w:r>
              <w:rPr>
                <w:rFonts w:ascii="Times New Roman" w:hAnsi="Times New Roman" w:eastAsia="바탕"/>
                <w:sz w:val="20"/>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§5.8.</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b/>
                <w:sz w:val="20"/>
              </w:rPr>
              <w:t>[Figure 4]</w:t>
            </w:r>
            <w:r>
              <w:rPr>
                <w:rFonts w:ascii="Times New Roman" w:hAnsi="Times New Roman" w:eastAsia="바탕"/>
                <w:sz w:val="20"/>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sz w:val="19"/>
              </w:rPr>
              <w:t>finish_course</w:t>
            </w:r>
            <w:r>
              <w:rPr>
                <w:rFonts w:ascii="Times New Roman" w:hAnsi="Times New Roman" w:eastAsia="바탕"/>
                <w:sz w:val="20"/>
              </w:rPr>
              <w:t xml:space="preserve">, </w:t>
            </w:r>
            <w:r>
              <w:rPr>
                <w:rFonts w:ascii="Consolas" w:hAnsi="Consolas" w:eastAsia="Consolas"/>
                <w:sz w:val="19"/>
              </w:rPr>
              <w:t>qty_*</w:t>
            </w:r>
            <w:r>
              <w:rPr>
                <w:rFonts w:ascii="Times New Roman" w:hAnsi="Times New Roman" w:eastAsia="바탕"/>
                <w:sz w:val="20"/>
              </w:rPr>
              <w:t xml:space="preserve"> and </w:t>
            </w:r>
            <w:r>
              <w:rPr>
                <w:rFonts w:ascii="Consolas" w:hAnsi="Consolas" w:eastAsia="Consolas"/>
                <w:sz w:val="19"/>
              </w:rPr>
              <w:t>time_*</w:t>
            </w:r>
            <w:r>
              <w:rPr>
                <w:rFonts w:ascii="Times New Roman" w:hAnsi="Times New Roman" w:eastAsia="바탕"/>
                <w:sz w:val="20"/>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The first two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There is one further assumption.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80" w:line="276" w:lineRule="auto"/>
              <w:jc w:val="both"/>
            </w:pPr>
            <w:r>
              <w:rPr>
                <w:rFonts w:ascii="Times New Roman" w:hAnsi="Times New Roman" w:eastAsia="바탕"/>
                <w:b/>
                <w:sz w:val="20"/>
              </w:rPr>
              <w:t>[Figure 5]</w:t>
            </w:r>
            <w:r>
              <w:rPr>
                <w:rFonts w:ascii="Times New Roman" w:hAnsi="Times New Roman" w:eastAsia="바탕"/>
                <w:sz w:val="20"/>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§5.8.</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(§5.8),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b/>
                <w:sz w:val="20"/>
              </w:rPr>
              <w:t>[Figure 6]</w:t>
            </w:r>
            <w:r>
              <w:rPr>
                <w:rFonts w:ascii="Times New Roman" w:hAnsi="Times New Roman" w:eastAsia="바탕"/>
                <w:sz w:val="20"/>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sz w:val="20"/>
              </w:rPr>
              <w:t>the result of showing two sets carrying the same instructions to the same 46 people</w:t>
            </w:r>
            <w:r>
              <w:rPr>
                <w:rFonts w:ascii="Times New Roman" w:hAnsi="Times New Roman" w:eastAsia="바탕"/>
                <w:sz w:val="20"/>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same licence carries a further clause: do not use the pictograms as the sole means of conveying information to patients. The body that created the standard has written down that a picture alone is not enough, and this is the same judgement as the design in §2.1, where SnapCare layers picture, speech and colour. We agree with the clause and differ only in making the supporting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Where this difference actually shows is in the part that records concepts the app could not build (step 4 in §5.9).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80" w:line="276" w:lineRule="auto"/>
              <w:jc w:val="both"/>
            </w:pPr>
            <w:r>
              <w:rPr>
                <w:rFonts w:ascii="Times New Roman" w:hAnsi="Times New Roman" w:eastAsia="바탕"/>
                <w:b/>
                <w:sz w:val="20"/>
              </w:rPr>
              <w:t>[Figure 7]</w:t>
            </w:r>
            <w:r>
              <w:rPr>
                <w:rFonts w:ascii="Times New Roman" w:hAnsi="Times New Roman" w:eastAsia="바탕"/>
                <w:sz w:val="20"/>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§5.9.</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80" w:line="276" w:lineRule="auto"/>
              <w:jc w:val="both"/>
            </w:pPr>
            <w:r>
              <w:rPr>
                <w:rFonts w:ascii="Times New Roman" w:hAnsi="Times New Roman" w:eastAsia="바탕"/>
                <w:b/>
                <w:sz w:val="20"/>
              </w:rPr>
              <w:t>[Figure 8]</w:t>
            </w:r>
            <w:r>
              <w:rPr>
                <w:rFonts w:ascii="Times New Roman" w:hAnsi="Times New Roman" w:eastAsia="바탕"/>
                <w:sz w:val="20"/>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80" w:line="276" w:lineRule="auto"/>
              <w:jc w:val="both"/>
            </w:pPr>
            <w:r>
              <w:rPr>
                <w:rFonts w:ascii="Times New Roman" w:hAnsi="Times New Roman" w:eastAsia="바탕"/>
                <w:b/>
                <w:sz w:val="20"/>
              </w:rPr>
              <w:t>[Figure 9]</w:t>
            </w:r>
            <w:r>
              <w:rPr>
                <w:rFonts w:ascii="Times New Roman" w:hAnsi="Times New Roman" w:eastAsia="바탕"/>
                <w:sz w:val="20"/>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10(b)).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9]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10]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80" w:line="276" w:lineRule="auto"/>
              <w:jc w:val="both"/>
            </w:pPr>
            <w:r>
              <w:rPr>
                <w:rFonts w:ascii="Times New Roman" w:hAnsi="Times New Roman" w:eastAsia="바탕"/>
                <w:b/>
                <w:sz w:val="20"/>
              </w:rPr>
              <w:t>[Figure 10]</w:t>
            </w:r>
            <w:r>
              <w:rPr>
                <w:rFonts w:ascii="Times New Roman" w:hAnsi="Times New Roman" w:eastAsia="바탕"/>
                <w:sz w:val="20"/>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80" w:line="276" w:lineRule="auto"/>
              <w:jc w:val="both"/>
            </w:pPr>
            <w:r>
              <w:rPr>
                <w:rFonts w:ascii="Times New Roman" w:hAnsi="Times New Roman" w:eastAsia="바탕"/>
                <w:b/>
                <w:sz w:val="20"/>
              </w:rPr>
              <w:t>[Figure 11]</w:t>
            </w:r>
            <w:r>
              <w:rPr>
                <w:rFonts w:ascii="Times New Roman" w:hAnsi="Times New Roman" w:eastAsia="바탕"/>
                <w:sz w:val="20"/>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80" w:line="276" w:lineRule="auto"/>
              <w:jc w:val="both"/>
            </w:pPr>
            <w:r>
              <w:rPr>
                <w:rFonts w:ascii="Times New Roman" w:hAnsi="Times New Roman" w:eastAsia="바탕"/>
                <w:b/>
                <w:sz w:val="20"/>
              </w:rPr>
              <w:t>[Figure 12]</w:t>
            </w:r>
            <w:r>
              <w:rPr>
                <w:rFonts w:ascii="Times New Roman" w:hAnsi="Times New Roman" w:eastAsia="바탕"/>
                <w:sz w:val="20"/>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80" w:line="276" w:lineRule="auto"/>
              <w:jc w:val="both"/>
            </w:pPr>
            <w:r>
              <w:rPr>
                <w:rFonts w:ascii="Times New Roman" w:hAnsi="Times New Roman" w:eastAsia="바탕"/>
                <w:b/>
                <w:sz w:val="20"/>
              </w:rPr>
              <w:t>[Figure 13]</w:t>
            </w:r>
            <w:r>
              <w:rPr>
                <w:rFonts w:ascii="Times New Roman" w:hAnsi="Times New Roman" w:eastAsia="바탕"/>
                <w:sz w:val="20"/>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11]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11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§5.8.</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80" w:line="276" w:lineRule="auto"/>
              <w:jc w:val="both"/>
            </w:pPr>
            <w:r>
              <w:rPr>
                <w:rFonts w:ascii="Times New Roman" w:hAnsi="Times New Roman" w:eastAsia="바탕"/>
                <w:b/>
                <w:sz w:val="20"/>
              </w:rPr>
              <w:t>[Figure 14]</w:t>
            </w:r>
            <w:r>
              <w:rPr>
                <w:rFonts w:ascii="Times New Roman" w:hAnsi="Times New Roman" w:eastAsia="바탕"/>
                <w:sz w:val="20"/>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12]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13]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14]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10(b)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15]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16]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17]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#15A34A</w:t>
                  </w:r>
                </w:p>
              </w:tc>
              <w:tc>
                <w:tcPr>
                  <w:tcW w:type="dxa" w:w="2429"/>
                </w:tcPr>
                <w:p>
                  <w:r>
                    <w:rPr>
                      <w:rFonts w:ascii="Times New Roman" w:hAnsi="Times New Roman" w:eastAsia="바탕"/>
                      <w:sz w:val="18"/>
                    </w:rPr>
                    <w:t xml:space="preserve">Amber </w:t>
                  </w:r>
                  <w:r>
                    <w:rPr>
                      <w:rFonts w:ascii="Consolas" w:hAnsi="Consolas" w:eastAsia="Consolas"/>
                      <w:sz w:val="17"/>
                    </w:rPr>
                    <w:t>#DE8500</w:t>
                  </w:r>
                </w:p>
              </w:tc>
              <w:tc>
                <w:tcPr>
                  <w:tcW w:type="dxa" w:w="2429"/>
                </w:tcPr>
                <w:p>
                  <w:r>
                    <w:rPr>
                      <w:rFonts w:ascii="Times New Roman" w:hAnsi="Times New Roman" w:eastAsia="바탕"/>
                      <w:sz w:val="18"/>
                    </w:rPr>
                    <w:t xml:space="preserve">Red </w:t>
                  </w:r>
                  <w:r>
                    <w:rPr>
                      <w:rFonts w:ascii="Consolas" w:hAnsi="Consolas" w:eastAsia="Consolas"/>
                      <w:sz w:val="17"/>
                    </w:rPr>
                    <w:t>#DC2626</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18]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19]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20]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21]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21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21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21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22]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22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80" w:line="276" w:lineRule="auto"/>
              <w:jc w:val="both"/>
            </w:pPr>
            <w:r>
              <w:rPr>
                <w:rFonts w:ascii="Times New Roman" w:hAnsi="Times New Roman" w:eastAsia="바탕"/>
                <w:b/>
                <w:sz w:val="20"/>
              </w:rPr>
              <w:t>[Figure 15]</w:t>
            </w:r>
            <w:r>
              <w:rPr>
                <w:rFonts w:ascii="Times New Roman" w:hAnsi="Times New Roman" w:eastAsia="바탕"/>
                <w:sz w:val="20"/>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23]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24]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25]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11,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(§5.8)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26]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27]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80" w:line="276" w:lineRule="auto"/>
              <w:jc w:val="both"/>
            </w:pPr>
            <w:r>
              <w:rPr>
                <w:rFonts w:ascii="Times New Roman" w:hAnsi="Times New Roman" w:eastAsia="바탕"/>
                <w:b/>
                <w:sz w:val="20"/>
              </w:rPr>
              <w:t>[Figure 16]</w:t>
            </w:r>
            <w:r>
              <w:rPr>
                <w:rFonts w:ascii="Times New Roman" w:hAnsi="Times New Roman" w:eastAsia="바탕"/>
                <w:sz w:val="20"/>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sz w:val="20"/>
              </w:rPr>
              <w:t>the move from 8 to 0 on zero pictograms</w:t>
            </w:r>
            <w:r>
              <w:rPr>
                <w:rFonts w:ascii="Times New Roman" w:hAnsi="Times New Roman" w:eastAsia="바탕"/>
                <w:sz w:val="20"/>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28]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29]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b/>
                <w:sz w:val="20"/>
              </w:rPr>
              <w:t>[Figure 17]</w:t>
            </w:r>
            <w:r>
              <w:rPr>
                <w:rFonts w:ascii="Times New Roman" w:hAnsi="Times New Roman" w:eastAsia="바탕"/>
                <w:sz w:val="20"/>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30]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31]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32]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b/>
                <w:sz w:val="20"/>
              </w:rPr>
              <w:t>[Figure 18]</w:t>
            </w:r>
            <w:r>
              <w:rPr>
                <w:rFonts w:ascii="Times New Roman" w:hAnsi="Times New Roman" w:eastAsia="바탕"/>
                <w:sz w:val="20"/>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33]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34]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(§5.8).</w:t>
            </w:r>
          </w:p>
          <w:p>
            <w:pPr>
              <w:spacing w:before="180" w:after="40"/>
            </w:pPr>
            <w:r>
              <w:rPr>
                <w:rFonts w:ascii="Times New Roman" w:hAnsi="Times New Roman" w:eastAsia="바탕"/>
                <w:b/>
                <w:sz w:val="23"/>
              </w:rPr>
              <w:t>5.7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35]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5.8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before="180" w:after="40"/>
            </w:pPr>
            <w:r>
              <w:rPr>
                <w:rFonts w:ascii="Times New Roman" w:hAnsi="Times New Roman" w:eastAsia="바탕"/>
                <w:b/>
                <w:sz w:val="23"/>
              </w:rPr>
              <w:t>5.9 Future plans</w:t>
            </w:r>
          </w:p>
          <w:p>
            <w:pPr>
              <w:spacing w:after="80" w:line="276" w:lineRule="auto"/>
              <w:jc w:val="both"/>
            </w:pPr>
            <w:r>
              <w:rPr>
                <w:rFonts w:ascii="Times New Roman" w:hAnsi="Times New Roman" w:eastAsia="바탕"/>
                <w:sz w:val="20"/>
              </w:rPr>
              <w:t>[Table 36]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Write service documentation and request expert review</w:t>
                  </w:r>
                </w:p>
              </w:tc>
              <w:tc>
                <w:tcPr>
                  <w:tcW w:type="dxa" w:w="3238"/>
                </w:tcPr>
                <w:p>
                  <w:r>
                    <w:rPr>
                      <w:rFonts w:ascii="Times New Roman" w:hAnsi="Times New Roman" w:eastAsia="바탕"/>
                      <w:sz w:val="18"/>
                    </w:rPr>
                    <w:t>Experts use the service and read the documentation before giving their opinion</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§5.8</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four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