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남윤수 (Yunsu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 · Natalia SCHIȚCO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김도훈 (Dohun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성인 문해율은 2015년 86%에서 2024년 88%로 올랐고 숫자만 보면 개선되고 있다 (UNESCO, 2025).</w:t>
            </w:r>
          </w:p>
          <w:p>
            <w:pPr>
              <w:spacing w:after="80" w:line="276" w:lineRule="auto"/>
              <w:jc w:val="both"/>
            </w:pPr>
            <w:r>
              <w:rPr>
                <w:rFonts w:ascii="Times New Roman" w:hAnsi="Times New Roman" w:eastAsia="바탕"/>
                <w:sz w:val="20"/>
              </w:rPr>
              <w:t>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2025). 중앙·남아시아는 3억 4,700만 명으로 사하라이남 아프리카 다음으로 많다 (UNESCO, 2025). 비문해 성인의 절반 이상인 4억 4,100만 명이 10개국에 집중되어 있다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평균은 이 문제의 크기를 감춘다. 성인 문해율이 가장 낮은 15개국의 값은 29%에서 60% 사이이며, 차드는 28%다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[표 1] 성인 문해율이 낮은 국가 (2015~2024 인구조사,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[표 2] 비문해 성인이 가장 많은 10개국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이고, 유럽과 북미 일부 지역의 남성은 99%다 (UNESCO, 2025).</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2025). 세계 평균 88%와의 거리가 이 그림의 논지다.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[표 3] 한국 성인의 건강정보이해능력 (국민건강영양조사,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2023). 전체 39.6% 에 비해 65세 이상은 59.7% 로, 20.1%p 높다. 소득으로 갈라도 11.9%p 차이가 난다. 이 문제가 나라 사이보다 나라 안에서 더 크게 갈린다는 것이 이 그림의 논지다.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이들 국가의 성인 문해력은 2012년 이후 오히려 정체하거나 낮아졌다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약사가 발견한 조제 오류 155건 기준 (Anacleto et al., 2007).</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et al.,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미국에서는 복약 비순응에 따르는 비용이 직접 비용만 연 1,000억 달러, 간접 비용까지 포함하면 3,000억 달러까지로 추정되며, 연간 약 125,000명의 사망과 입원의 최소 10%가 비순응과 연관된 것으로 인용된다 (Duke Health, "Medication Nonadherence Increases Health Costs, Hospital Readmissions").</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세계보건기구는 2017년 제3차 국제 환자안전 과제로 Medication Without Harm 을 선언하고, 5년 안에 중대한 회피 가능 약물 위해를 50% 줄이겠다는 목표를 세웠다 (WHO, 2017). 우선 영역으로 고위험 상황, 다제복용, 진료 이행 셋을 지목했다 (WHO,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(WHO, 2024). 과제를 받아들인 나라는 74%인데 감축 목표를 수로 세운 나라는 18%다. 선언과 이행 사이의 거리가 이 그림의 논지이며,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(WHO, 2024). 회색이 전 세계, 빨강이 저·중소득국이다. 우리에게 유리한 그림이 아니라서 싣는다. 위해의 절반 이상이 처방 단계에서 생기고 우리가 대상으로 삼는 지역에서는 80%에 가까운데, 이 앱은 그 단계에 개입하지 않는다.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선택의 대가도 적어 둔다. 처방이 이미 잘못되어 있으면 이 앱은 잘못된 처방을 정확하게 전달한다. §5.7 에서 약국 11명 가운데 8명이 약사가 매번 검토해야 한다고 답한 것이 이 지점을 가리킨다.</w:t>
            </w:r>
          </w:p>
          <w:p>
            <w:pPr>
              <w:spacing w:after="80" w:line="276" w:lineRule="auto"/>
              <w:jc w:val="both"/>
            </w:pPr>
            <w:r>
              <w:rPr>
                <w:rFonts w:ascii="Times New Roman" w:hAnsi="Times New Roman" w:eastAsia="바탕"/>
                <w:sz w:val="20"/>
              </w:rPr>
              <w:t>앞의 둘은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11th ed., 2025). 당뇨 성인 네 명 중 세 명이 저·중소득국에 산다. 2050년에는 8억 5,300만 명(13%)에 이를 것으로 예측되며, 2024년 한 해 당뇨로 인한 사망은 340만 명, 9초에 한 명꼴이었다 (IDF,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전제가 하나 더 있다. 글을 읽을 수 있다 해도 그 글이 자기 언어라는 보장이 없다. 세계 인구의 40%는 자신이 이해하는 언어로 교육에 접근하지 못하며, 문해력 조사조차 대부분 한 언어만으로 측정한다 (UNESCO, 2025). 처방전과 성분표는 그 나라의 공용어나 영어로 인쇄되므로, 문해율 통계에서 "읽을 수 있다" 로 집계된 사람 가운데도 자기 앞의 종이를 읽지 못하는 사람이 있다. 그림과 음성은 이 층을 함께 건너뛴다.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[표 5] 연령대별 스마트폰 보유율 (미국,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7" name="Picture 7"/>
                  <wp:cNvGraphicFramePr>
                    <a:graphicFrameLocks noChangeAspect="1"/>
                  </wp:cNvGraphicFramePr>
                  <a:graphic>
                    <a:graphicData uri="http://schemas.openxmlformats.org/drawingml/2006/picture">
                      <pic:pic>
                        <pic:nvPicPr>
                          <pic:cNvPr id="0" name="chart04_smartphone.png"/>
                          <pic:cNvPicPr/>
                        </pic:nvPicPr>
                        <pic:blipFill>
                          <a:blip r:embed="rId21"/>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연령대별 스마트폰 보유율 (미국,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 그리고 그 연령대의 건강정보이해능력이 적절한 비율은 40.3%다 (질병관리청,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등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et al.,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정리하면 이 분야는 두 가지를 함께 관찰해 왔다. 잘 만든 그림은 실제로 오류를 줄인다(Yin 등, 2008: 47.8% → 5.4%). 그리고 만들었다고 해서 잘 만들어지는 것은 아니다(Gutierrez 등, 2022: 108종 중 17종). 앞의 것이 이 접근을 택할 이유이고, 뒤의 것이 만든 뒤에 재야 할 이유다.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60" w:after="60"/>
              <w:jc w:val="center"/>
            </w:pPr>
            <w:r>
              <w:drawing>
                <wp:inline xmlns:a="http://schemas.openxmlformats.org/drawingml/2006/main" xmlns:pic="http://schemas.openxmlformats.org/drawingml/2006/picture">
                  <wp:extent cx="5486400" cy="3108960"/>
                  <wp:docPr id="8" name="Picture 8"/>
                  <wp:cNvGraphicFramePr>
                    <a:graphicFrameLocks noChangeAspect="1"/>
                  </wp:cNvGraphicFramePr>
                  <a:graphic>
                    <a:graphicData uri="http://schemas.openxmlformats.org/drawingml/2006/picture">
                      <pic:pic>
                        <pic:nvPicPr>
                          <pic:cNvPr id="0" name="chart05_pictogram_pass.png"/>
                          <pic:cNvPicPr/>
                        </pic:nvPicPr>
                        <pic:blipFill>
                          <a:blip r:embed="rId22"/>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현재 가장 널리 쓰이는 의약 픽토그램 표준은 미국약전(USP)의 81종 세트다. 1987년에 착수하여 1997년에 현재의 세트가 완성되었으며, 의무(사각형), 금지(원과 사선), 경고(역삼각형)의 세 범주로 구성된다 (U.S. Pharmacopeia).</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라이선스는 픽토그램을 변형하거나 USP 가 만들지 않은 심볼과 함께 쓰는 것을 USP 의 허락 없이는 금지한다 (U.S. Pharmacopeia, </w:t>
            </w:r>
            <w:r>
              <w:rPr>
                <w:rFonts w:ascii="Times New Roman" w:hAnsi="Times New Roman" w:eastAsia="바탕"/>
                <w:i/>
                <w:sz w:val="20"/>
              </w:rPr>
              <w:t>USP Pictogram Library License Agreement</w:t>
            </w:r>
            <w:r>
              <w:rPr>
                <w:rFonts w:ascii="Times New Roman" w:hAnsi="Times New Roman" w:eastAsia="바탕"/>
                <w:sz w:val="20"/>
              </w:rPr>
              <w:t>). 즉 표준을 준수하는 한 조합은 앞으로도 불가능하다.</w:t>
            </w:r>
          </w:p>
          <w:p>
            <w:pPr>
              <w:spacing w:after="80" w:line="276" w:lineRule="auto"/>
              <w:jc w:val="both"/>
            </w:pPr>
            <w:r>
              <w:rPr>
                <w:rFonts w:ascii="Times New Roman" w:hAnsi="Times New Roman" w:eastAsia="바탕"/>
                <w:sz w:val="20"/>
              </w:rPr>
              <w:t>같은 라이선스에 한 조항이 더 있다. 픽토그램을 환자에게 정보를 전달하는 유일한 수단으로 쓰지 말 것. 표준을 만든 쪽이 그림 하나로는 부족하다고 적어 둔 것이며, 이는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첫째, 규모. 비문해 성인은 7억 3,900만 명이며, 지역에 따라 절대수가 증가하고 있다 (UNESCO, 2025). 여기에 건강 문해력 기준을 적용하면 대상은 더 넓어진다. 한국 성인의 39.6%, 65세 이상의 59.7% 가 건강정보이해능력이 충분하지 않다 (질병관리청, 2023).</w:t>
            </w:r>
          </w:p>
          <w:p>
            <w:pPr>
              <w:spacing w:after="80" w:line="276" w:lineRule="auto"/>
              <w:jc w:val="both"/>
            </w:pPr>
            <w:r>
              <w:rPr>
                <w:rFonts w:ascii="Times New Roman" w:hAnsi="Times New Roman" w:eastAsia="바탕"/>
                <w:sz w:val="20"/>
              </w:rPr>
              <w:t xml:space="preserve">둘째, 대가. 복약 오류는 연간 420억 달러의 비용을 발생시키고 (WHO,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셋째, 시각적 방법의 효과와 한계. 그림은 문자보다 잘 기억되지만 (Houts et al., 2006), 실제로 만들어진 의약 픽토그램 108종 가운데 ANSI 기준을 통과한 것은 17종뿐이었다 (Gutierrez et al.,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다섯째, 전달 경로의 개방. 미국 65세 이상의 78%가 이미 스마트폰을 보유하고 있다 (Pew Research Center,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et al., 2022), 계층 구조는 그 자체로 장벽이 된다 (Medhi et al., 2013).</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가능하고, 실제로 음성 안내는 이 분야에서 가장 흔한 접근이다.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00610" cy="4754880"/>
                  <wp:docPr id="9" name="Picture 9"/>
                  <wp:cNvGraphicFramePr>
                    <a:graphicFrameLocks noChangeAspect="1"/>
                  </wp:cNvGraphicFramePr>
                  <a:graphic>
                    <a:graphicData uri="http://schemas.openxmlformats.org/drawingml/2006/picture">
                      <pic:pic>
                        <pic:nvPicPr>
                          <pic:cNvPr id="0" name="fig01_home.png"/>
                          <pic:cNvPicPr/>
                        </pic:nvPicPr>
                        <pic:blipFill>
                          <a:blip r:embed="rId23"/>
                          <a:stretch>
                            <a:fillRect/>
                          </a:stretch>
                        </pic:blipFill>
                        <pic:spPr>
                          <a:xfrm>
                            <a:off x="0" y="0"/>
                            <a:ext cx="160061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홈 화면. 스크롤하지 않고 보이는 만큼을 그대로 잘랐다. 앱을 열었을 때 실제로 마주치는 화면이 이것이다. 화면에서 가장 큰 요소가 촬영 버튼 하나이고, 메뉴도 검색창도 없다. 선택이 하나뿐이라는 것이 §1.10 에서 확인한 계층 구조 장벽에 대한 대응이다.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자식이 정확히 하나</w:t>
              <w:br/>
              <w:t xml:space="preserve">        if self._peek() != "{":</w:t>
              <w:br/>
              <w:t xml:space="preserve">            raise ParseError(f"\\{name} requires a child: \\{name}{{...}}")</w:t>
              <w:br/>
              <w:t xml:space="preserve">        ...</w:t>
              <w:br/>
              <w:t xml:space="preserve">        return Node(name=name, kind=NodeKind.OPERATOR, children=[child])</w:t>
              <w:br/>
              <w:br/>
              <w:t xml:space="preserve">    if self.m.is_head(name):                         # 머리 — 슬롯에 수식어만</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수식어 — 홀로 설 수 없다</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설계 의도. 세 갈래가 각각 문법의 한 조항이다. 수식어가 슬롯 밖에 오면 파스가 실패하고,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0" name="Picture 10"/>
                  <wp:cNvGraphicFramePr>
                    <a:graphicFrameLocks noChangeAspect="1"/>
                  </wp:cNvGraphicFramePr>
                  <a:graphic>
                    <a:graphicData uri="http://schemas.openxmlformats.org/drawingml/2006/picture">
                      <pic:pic>
                        <pic:nvPicPr>
                          <pic:cNvPr id="0" name="fig02_sigil_sheet.png"/>
                          <pic:cNvPicPr/>
                        </pic:nvPicPr>
                        <pic:blipFill>
                          <a:blip r:embed="rId2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11" name="Picture 11"/>
                  <wp:cNvGraphicFramePr>
                    <a:graphicFrameLocks noChangeAspect="1"/>
                  </wp:cNvGraphicFramePr>
                  <a:graphic>
                    <a:graphicData uri="http://schemas.openxmlformats.org/drawingml/2006/picture">
                      <pic:pic>
                        <pic:nvPicPr>
                          <pic:cNvPr id="0" name="fig03_dsl.png"/>
                          <pic:cNvPicPr/>
                        </pic:nvPicPr>
                        <pic:blipFill>
                          <a:blip r:embed="rId2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12 의 (b)). 판정이 어디서 나왔는지를 사용자가 볼 수 없으면 그 판정을 검토할 방법도 없다.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앞 절에서 확인했듯 당뇨 성인의 약 43%가 자신이 당뇨임을 모르며 (IDF,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9]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먹고 탈남</w:t>
              <w:br/>
              <w:t xml:space="preserve">    const b = withIt.length - a;                                     // 먹고 괜찮음</w:t>
              <w:br/>
              <w:t xml:space="preserve">    const c = without.filter((m) =&gt; m.reaction === 'unwell').length; // 안 먹고 탈남</w:t>
              <w:br/>
              <w:t xml:space="preserve">    const d = without.length - c;                                    // 안 먹고 괜찮음</w:t>
              <w:br/>
              <w:br/>
              <w:t xml:space="preserve">    if (a &lt; MIN_UNWELL || withIt.length &lt; MIN_EATEN</w:t>
              <w:br/>
              <w:t xml:space="preserve">                       || without.length &lt; MIN_CONTROL) continue;     // 증거 부족</w:t>
              <w:br/>
              <w:t xml:space="preserve">    if (fisherRightTail(a, b, c, d) &gt; threshold) continue;            // 우연 범위</w:t>
              <w:br/>
              <w:t xml:space="preserve">    ...</w:t>
              <w:br/>
              <w:t xml:space="preserve">  }</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10]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00897"/>
                  <wp:docPr id="12" name="Picture 12"/>
                  <wp:cNvGraphicFramePr>
                    <a:graphicFrameLocks noChangeAspect="1"/>
                  </wp:cNvGraphicFramePr>
                  <a:graphic>
                    <a:graphicData uri="http://schemas.openxmlformats.org/drawingml/2006/picture">
                      <pic:pic>
                        <pic:nvPicPr>
                          <pic:cNvPr id="0" name="panelA_flow.png"/>
                          <pic:cNvPicPr/>
                        </pic:nvPicPr>
                        <pic:blipFill>
                          <a:blip r:embed="rId26"/>
                          <a:stretch>
                            <a:fillRect/>
                          </a:stretch>
                        </pic:blipFill>
                        <pic:spPr>
                          <a:xfrm>
                            <a:off x="0" y="0"/>
                            <a:ext cx="5486400" cy="4300897"/>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486400" cy="4496734"/>
                  <wp:docPr id="13" name="Picture 13"/>
                  <wp:cNvGraphicFramePr>
                    <a:graphicFrameLocks noChangeAspect="1"/>
                  </wp:cNvGraphicFramePr>
                  <a:graphic>
                    <a:graphicData uri="http://schemas.openxmlformats.org/drawingml/2006/picture">
                      <pic:pic>
                        <pic:nvPicPr>
                          <pic:cNvPr id="0" name="panelB_nutrition.png"/>
                          <pic:cNvPicPr/>
                        </pic:nvPicPr>
                        <pic:blipFill>
                          <a:blip r:embed="rId27"/>
                          <a:stretch>
                            <a:fillRect/>
                          </a:stretch>
                        </pic:blipFill>
                        <pic:spPr>
                          <a:xfrm>
                            <a:off x="0" y="0"/>
                            <a:ext cx="5486400" cy="449673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14" name="Picture 14"/>
                  <wp:cNvGraphicFramePr>
                    <a:graphicFrameLocks noChangeAspect="1"/>
                  </wp:cNvGraphicFramePr>
                  <a:graphic>
                    <a:graphicData uri="http://schemas.openxmlformats.org/drawingml/2006/picture">
                      <pic:pic>
                        <pic:nvPicPr>
                          <pic:cNvPr id="0" name="fig10_dispenser.png"/>
                          <pic:cNvPicPr/>
                        </pic:nvPicPr>
                        <pic:blipFill>
                          <a:blip r:embed="rId28"/>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et al., 2013).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15" name="Picture 15"/>
                  <wp:cNvGraphicFramePr>
                    <a:graphicFrameLocks noChangeAspect="1"/>
                  </wp:cNvGraphicFramePr>
                  <a:graphic>
                    <a:graphicData uri="http://schemas.openxmlformats.org/drawingml/2006/picture">
                      <pic:pic>
                        <pic:nvPicPr>
                          <pic:cNvPr id="0" name="fig11_userflow.png"/>
                          <pic:cNvPicPr/>
                        </pic:nvPicPr>
                        <pic:blipFill>
                          <a:blip r:embed="rId29"/>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11]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11의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31920" cy="4754880"/>
                  <wp:docPr id="16" name="Picture 16"/>
                  <wp:cNvGraphicFramePr>
                    <a:graphicFrameLocks noChangeAspect="1"/>
                  </wp:cNvGraphicFramePr>
                  <a:graphic>
                    <a:graphicData uri="http://schemas.openxmlformats.org/drawingml/2006/picture">
                      <pic:pic>
                        <pic:nvPicPr>
                          <pic:cNvPr id="0" name="panelC_onboarding.png"/>
                          <pic:cNvPicPr/>
                        </pic:nvPicPr>
                        <pic:blipFill>
                          <a:blip r:embed="rId30"/>
                          <a:stretch>
                            <a:fillRect/>
                          </a:stretch>
                        </pic:blipFill>
                        <pic:spPr>
                          <a:xfrm>
                            <a:off x="0" y="0"/>
                            <a:ext cx="39319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12]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백분율을 숨기지 않고 그대로 보이는 것은 의도한 것이다. 저문해 사용자 연구에서 지적된 장벽 가운데 하나가 위압감(intimidation)이며 (Medhi, Cutrell &amp; Toyama,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13]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14]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12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15]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16]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before="120" w:after="20"/>
            </w:pPr>
            <w:r>
              <w:rPr>
                <w:rFonts w:ascii="Times New Roman" w:hAnsi="Times New Roman" w:eastAsia="바탕"/>
                <w:b/>
                <w:sz w:val="21"/>
              </w:rPr>
              <w:t>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17]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#15A34A</w:t>
                  </w:r>
                </w:p>
              </w:tc>
              <w:tc>
                <w:tcPr>
                  <w:tcW w:type="dxa" w:w="2429"/>
                </w:tcPr>
                <w:p>
                  <w:r>
                    <w:rPr>
                      <w:rFonts w:ascii="Times New Roman" w:hAnsi="Times New Roman" w:eastAsia="바탕"/>
                      <w:sz w:val="18"/>
                    </w:rPr>
                    <w:t xml:space="preserve">주황 </w:t>
                  </w:r>
                  <w:r>
                    <w:rPr>
                      <w:rFonts w:ascii="Consolas" w:hAnsi="Consolas" w:eastAsia="Consolas"/>
                      <w:sz w:val="17"/>
                    </w:rPr>
                    <w:t>#DE8500</w:t>
                  </w:r>
                </w:p>
              </w:tc>
              <w:tc>
                <w:tcPr>
                  <w:tcW w:type="dxa" w:w="2429"/>
                </w:tcPr>
                <w:p>
                  <w:r>
                    <w:rPr>
                      <w:rFonts w:ascii="Times New Roman" w:hAnsi="Times New Roman" w:eastAsia="바탕"/>
                      <w:sz w:val="18"/>
                    </w:rPr>
                    <w:t xml:space="preserve">빨강 </w:t>
                  </w:r>
                  <w:r>
                    <w:rPr>
                      <w:rFonts w:ascii="Consolas" w:hAnsi="Consolas" w:eastAsia="Consolas"/>
                      <w:sz w:val="17"/>
                    </w:rPr>
                    <w:t>#DC2626</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18]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19]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다섯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한 가지 대가를 적어 둔다.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20]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21]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21의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릴레이 경로의 추가</w:t>
            </w:r>
          </w:p>
          <w:p>
            <w:pPr>
              <w:spacing w:after="80" w:line="276" w:lineRule="auto"/>
              <w:jc w:val="both"/>
            </w:pPr>
            <w:r>
              <w:rPr>
                <w:rFonts w:ascii="Times New Roman" w:hAnsi="Times New Roman" w:eastAsia="바탕"/>
                <w:sz w:val="20"/>
              </w:rPr>
              <w:t>표 21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21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problems.append(f"{name}: two boxes filled ... erase one and retake")</w:t>
              <w:br/>
              <w:br/>
              <w:t xml:space="preserve">    elif best[1] - second[1] &lt; margin:         # ③ 갈라지지 않는다</w:t>
              <w:br/>
              <w:t xml:space="preserve">        values[name] = None</w:t>
              <w:br/>
              <w:t xml:space="preserve">        problems.append(f"{name}: ambiguous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22]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22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17" name="Picture 17"/>
                  <wp:cNvGraphicFramePr>
                    <a:graphicFrameLocks noChangeAspect="1"/>
                  </wp:cNvGraphicFramePr>
                  <a:graphic>
                    <a:graphicData uri="http://schemas.openxmlformats.org/drawingml/2006/picture">
                      <pic:pic>
                        <pic:nvPicPr>
                          <pic:cNvPr id="0" name="fig14_formsheet.png"/>
                          <pic:cNvPicPr/>
                        </pic:nvPicPr>
                        <pic:blipFill>
                          <a:blip r:embed="rId31"/>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w:t>
            </w:r>
          </w:p>
          <w:p>
            <w:pPr>
              <w:spacing w:after="160"/>
            </w:pPr>
            <w:r>
              <w:rPr>
                <w:rFonts w:ascii="Consolas" w:hAnsi="Consolas" w:eastAsia="Consolas"/>
                <w:sz w:val="18"/>
              </w:rPr>
              <w:t>self.addEventListener('fetch', (event) =&gt; {</w:t>
              <w:br/>
              <w:t xml:space="preserve">  const url = new URL(event.request.url);</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(event.request.mode === 'navigate') {</w:t>
              <w:br/>
              <w:t xml:space="preserve">    event.respondWith(networkFirst(event.request));   // 화면 이동은 최신 우선</w:t>
              <w:br/>
              <w:t xml:space="preserve">    return;</w:t>
              <w:br/>
              <w:t xml:space="preserve">  }</w:t>
              <w:br/>
              <w:br/>
              <w:t xml:space="preserve">  if (url.pathname.startsWith('/_next/static/') ||</w:t>
              <w:br/>
              <w:t xml:space="preserve">      url.pathname.startsWith('/pictograms/') ||</w:t>
              <w:br/>
              <w:t xml:space="preserve">      url.pathname.startsWith('/models/') ||          // 영양 추정 모델 16MB</w:t>
              <w:br/>
              <w:t xml:space="preserve">      url.pathname.startsWith('/ocr/')) {             // OCR 워커·코어·언어 데이터</w:t>
              <w:br/>
              <w:t xml:space="preserve">    event.respondWith(cacheFirst(event.request));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23]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24] 저장소의 구성 (2026-07-29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41</w:t>
                  </w:r>
                </w:p>
              </w:tc>
              <w:tc>
                <w:tcPr>
                  <w:tcW w:type="dxa" w:w="2429"/>
                </w:tcPr>
                <w:p>
                  <w:r>
                    <w:rPr>
                      <w:rFonts w:ascii="Times New Roman" w:hAnsi="Times New Roman" w:eastAsia="바탕"/>
                      <w:sz w:val="18"/>
                    </w:rPr>
                    <w:t>5,439</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68</w:t>
                  </w:r>
                </w:p>
              </w:tc>
              <w:tc>
                <w:tcPr>
                  <w:tcW w:type="dxa" w:w="2429"/>
                </w:tcPr>
                <w:p>
                  <w:r>
                    <w:rPr>
                      <w:rFonts w:ascii="Times New Roman" w:hAnsi="Times New Roman" w:eastAsia="바탕"/>
                      <w:sz w:val="18"/>
                    </w:rPr>
                    <w:t>7,143</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13,934</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109</w:t>
                  </w:r>
                </w:p>
              </w:tc>
              <w:tc>
                <w:tcPr>
                  <w:tcW w:type="dxa" w:w="2429"/>
                </w:tcPr>
                <w:p>
                  <w:r>
                    <w:rPr>
                      <w:rFonts w:ascii="Times New Roman" w:hAnsi="Times New Roman" w:eastAsia="바탕"/>
                      <w:sz w:val="18"/>
                    </w:rPr>
                    <w:t>22,032</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59,083</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43</w:t>
                  </w:r>
                </w:p>
              </w:tc>
              <w:tc>
                <w:tcPr>
                  <w:tcW w:type="dxa" w:w="2429"/>
                </w:tcPr>
                <w:p>
                  <w:r>
                    <w:rPr>
                      <w:rFonts w:ascii="Times New Roman" w:hAnsi="Times New Roman" w:eastAsia="바탕"/>
                      <w:sz w:val="18"/>
                    </w:rPr>
                    <w:t>43,700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25]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갈래</w:t>
                  </w:r>
                </w:p>
              </w:tc>
              <w:tc>
                <w:tcPr>
                  <w:tcW w:type="dxa" w:w="3238"/>
                  <w:shd w:val="clear" w:fill="F2F2F2"/>
                </w:tcPr>
                <w:p>
                  <w:r>
                    <w:rPr>
                      <w:rFonts w:ascii="Times New Roman" w:hAnsi="Times New Roman" w:eastAsia="바탕"/>
                      <w:b/>
                      <w:sz w:val="18"/>
                    </w:rPr>
                    <w:t>개수</w:t>
                  </w:r>
                </w:p>
              </w:tc>
              <w:tc>
                <w:tcPr>
                  <w:tcW w:type="dxa" w:w="3238"/>
                  <w:shd w:val="clear" w:fill="F2F2F2"/>
                </w:tcPr>
                <w:p>
                  <w:r>
                    <w:rPr>
                      <w:rFonts w:ascii="Times New Roman" w:hAnsi="Times New Roman" w:eastAsia="바탕"/>
                      <w:b/>
                      <w:sz w:val="18"/>
                    </w:rPr>
                    <w:t>필요한 것</w:t>
                  </w:r>
                </w:p>
              </w:tc>
            </w:tr>
            <w:tr>
              <w:tc>
                <w:tcPr>
                  <w:tcW w:type="dxa" w:w="3238"/>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3238"/>
                </w:tcPr>
                <w:p>
                  <w:r>
                    <w:rPr>
                      <w:rFonts w:ascii="Times New Roman" w:hAnsi="Times New Roman" w:eastAsia="바탕"/>
                      <w:sz w:val="18"/>
                    </w:rPr>
                    <w:t>174</w:t>
                  </w:r>
                </w:p>
              </w:tc>
              <w:tc>
                <w:tcPr>
                  <w:tcW w:type="dxa" w:w="3238"/>
                </w:tcPr>
                <w:p>
                  <w:r>
                    <w:rPr>
                      <w:rFonts w:ascii="Times New Roman" w:hAnsi="Times New Roman" w:eastAsia="바탕"/>
                      <w:sz w:val="18"/>
                    </w:rPr>
                    <w:t>Node 만</w:t>
                  </w:r>
                </w:p>
              </w:tc>
            </w:tr>
            <w:tr>
              <w:tc>
                <w:tcPr>
                  <w:tcW w:type="dxa" w:w="3238"/>
                </w:tcPr>
                <w:p>
                  <w:r>
                    <w:rPr>
                      <w:rFonts w:ascii="Times New Roman" w:hAnsi="Times New Roman" w:eastAsia="바탕"/>
                      <w:sz w:val="18"/>
                    </w:rPr>
                    <w:t>종이 서식·일정 (</w:t>
                  </w:r>
                  <w:r>
                    <w:rPr>
                      <w:rFonts w:ascii="Consolas" w:hAnsi="Consolas" w:eastAsia="Consolas"/>
                      <w:sz w:val="17"/>
                    </w:rPr>
                    <w:t>pytest</w:t>
                  </w:r>
                  <w:r>
                    <w:rPr>
                      <w:rFonts w:ascii="Times New Roman" w:hAnsi="Times New Roman" w:eastAsia="바탕"/>
                      <w:sz w:val="18"/>
                    </w:rPr>
                    <w:t>)</w:t>
                  </w:r>
                </w:p>
              </w:tc>
              <w:tc>
                <w:tcPr>
                  <w:tcW w:type="dxa" w:w="3238"/>
                </w:tcPr>
                <w:p>
                  <w:r>
                    <w:rPr>
                      <w:rFonts w:ascii="Times New Roman" w:hAnsi="Times New Roman" w:eastAsia="바탕"/>
                      <w:sz w:val="18"/>
                    </w:rPr>
                    <w:t>105</w:t>
                  </w:r>
                </w:p>
              </w:tc>
              <w:tc>
                <w:tcPr>
                  <w:tcW w:type="dxa" w:w="3238"/>
                </w:tcPr>
                <w:p>
                  <w:r>
                    <w:rPr>
                      <w:rFonts w:ascii="Times New Roman" w:hAnsi="Times New Roman" w:eastAsia="바탕"/>
                      <w:sz w:val="18"/>
                    </w:rPr>
                    <w:t>OpenCV</w:t>
                  </w:r>
                </w:p>
              </w:tc>
            </w:tr>
            <w:tr>
              <w:tc>
                <w:tcPr>
                  <w:tcW w:type="dxa" w:w="3238"/>
                </w:tcPr>
                <w:p>
                  <w:r>
                    <w:rPr>
                      <w:rFonts w:ascii="Times New Roman" w:hAnsi="Times New Roman" w:eastAsia="바탕"/>
                      <w:sz w:val="18"/>
                    </w:rPr>
                    <w:t>펌웨어 프로토콜·스케줄러</w:t>
                  </w:r>
                </w:p>
              </w:tc>
              <w:tc>
                <w:tcPr>
                  <w:tcW w:type="dxa" w:w="3238"/>
                </w:tcPr>
                <w:p>
                  <w:r>
                    <w:rPr>
                      <w:rFonts w:ascii="Times New Roman" w:hAnsi="Times New Roman" w:eastAsia="바탕"/>
                      <w:sz w:val="18"/>
                    </w:rPr>
                    <w:t>호스트 빌드</w:t>
                  </w:r>
                </w:p>
              </w:tc>
              <w:tc>
                <w:tcPr>
                  <w:tcW w:type="dxa" w:w="3238"/>
                </w:tcPr>
                <w:p>
                  <w:r>
                    <w:rPr>
                      <w:rFonts w:ascii="Times New Roman" w:hAnsi="Times New Roman" w:eastAsia="바탕"/>
                      <w:sz w:val="18"/>
                    </w:rPr>
                    <w:t>C++ 컴파일러만</w:t>
                  </w:r>
                </w:p>
              </w:tc>
            </w:tr>
          </w:tbl>
          <w:p/>
          <w:p>
            <w:pPr>
              <w:spacing w:after="120"/>
            </w:pP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13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11일 동안 194개의 커밋이 쌓였다.</w:t>
            </w:r>
          </w:p>
          <w:p>
            <w:pPr>
              <w:spacing w:after="80" w:line="276" w:lineRule="auto"/>
              <w:jc w:val="both"/>
            </w:pPr>
            <w:r>
              <w:rPr>
                <w:rFonts w:ascii="Times New Roman" w:hAnsi="Times New Roman" w:eastAsia="바탕"/>
                <w:sz w:val="20"/>
              </w:rPr>
              <w:t>여기에도 조건이 붙는다. 본 프로젝트는 개발 전 과정에서 AI 코딩 도구를 사용했으며, 이를 숨기지 않는다. 도구가 만든 것을 그대로 둔 곳은 없다. 이 문서가 기록한 결함들, 이를테면 인용 37종 가운데 12종이 원문과 달랐던 것이나(§5.9), 형태소 검사기가 고리 넷을 "네 개" 로 통과시킨 것(§5.2)이 모두 사람이 다시 확인해 찾은 것이다.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26]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27]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18" name="Picture 18"/>
                  <wp:cNvGraphicFramePr>
                    <a:graphicFrameLocks noChangeAspect="1"/>
                  </wp:cNvGraphicFramePr>
                  <a:graphic>
                    <a:graphicData uri="http://schemas.openxmlformats.org/drawingml/2006/picture">
                      <pic:pic>
                        <pic:nvPicPr>
                          <pic:cNvPr id="0" name="chart06_formative.png"/>
                          <pic:cNvPicPr/>
                        </pic:nvPicPr>
                        <pic:blipFill>
                          <a:blip r:embed="rId3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§1.8 에서 확인했듯 픽토그램은 만든다고 읽히는 것이 아니다. 국제 표준 픽토그램 108종 가운데 ANSI 85% 기준을 통과한 것은 17종에 그쳤다 (Gutierrez et al.,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28]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검사기는 이미 왜 떨어졌는지를 알고 있다. 그 사유를 쓰지 않고 횟수만 세는 것은 같은 주사위를 다시 굴리는 것과 같고, 굴릴 때마다 요금이 나간다. 그래서 지시를 사유에 걸었다.</w:t>
            </w:r>
          </w:p>
          <w:p>
            <w:pPr>
              <w:spacing w:after="160"/>
            </w:pPr>
            <w:r>
              <w:rPr>
                <w:rFonts w:ascii="Consolas" w:hAnsi="Consolas" w:eastAsia="Consolas"/>
                <w:sz w:val="18"/>
              </w:rPr>
              <w:t>def escalate(c: 'Check | None') -&gt; str:</w:t>
              <w:br/>
              <w:t xml:space="preserve">    """직전 실패의 **사유에 맞춰** 다시 시킨다."""</w:t>
              <w:br/>
              <w:t xml:space="preserve">    r = ' · '.join(c.reasons)</w:t>
              <w:br/>
              <w:br/>
              <w:t xml:space="preserve">    if '뭉쳤다'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'가늘다' in r:</w:t>
              <w:br/>
              <w:t xml:space="preserve">        return (' The shape came out too thin and sparse. Make every black part much thicker and '</w:t>
              <w:br/>
              <w:t xml:space="preserve">                'heavier, and let it fill more of the frame.')</w:t>
              <w:br/>
              <w:t xml:space="preserve">    if '개수' in r:</w:t>
              <w:br/>
              <w:t xml:space="preserve">        return (' The number of separate shapes was wrong. Draw exactly the number stated, each '</w:t>
              <w:br/>
              <w:t xml:space="preserve">                'one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설계 의도. 네 갈래가 각각 다른 방향으로 민다.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29]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19" name="Picture 19"/>
                  <wp:cNvGraphicFramePr>
                    <a:graphicFrameLocks noChangeAspect="1"/>
                  </wp:cNvGraphicFramePr>
                  <a:graphic>
                    <a:graphicData uri="http://schemas.openxmlformats.org/drawingml/2006/picture">
                      <pic:pic>
                        <pic:nvPicPr>
                          <pic:cNvPr id="0" name="chart07_glyph_check.png"/>
                          <pic:cNvPicPr/>
                        </pic:nvPicPr>
                        <pic:blipFill>
                          <a:blip r:embed="rId33"/>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30]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31]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32]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33]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chart08_model_mae.png"/>
                          <pic:cNvPicPr/>
                        </pic:nvPicPr>
                        <pic:blipFill>
                          <a:blip r:embed="rId34"/>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34]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35]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적어 둔다.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어떻게 물었는가</w:t>
            </w:r>
          </w:p>
          <w:p>
            <w:pPr>
              <w:spacing w:before="120" w:after="20"/>
            </w:pPr>
            <w:r>
              <w:rPr>
                <w:rFonts w:ascii="Times New Roman" w:hAnsi="Times New Roman" w:eastAsia="바탕"/>
                <w:b/>
                <w:sz w:val="21"/>
              </w:rPr>
              <w:t>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36] 명단의 여덟 영역 (합계 1,103명)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누가 답했는가</w:t>
            </w:r>
          </w:p>
          <w:p>
            <w:pPr>
              <w:spacing w:after="80" w:line="276" w:lineRule="auto"/>
              <w:jc w:val="both"/>
            </w:pPr>
            <w:r>
              <w:rPr>
                <w:rFonts w:ascii="Times New Roman" w:hAnsi="Times New Roman" w:eastAsia="바탕"/>
                <w:sz w:val="20"/>
              </w:rPr>
              <w:t>2026년 8월 2일 기준 34명이 답했다. 발송 대비 3.1% 이며, 자유 서술 93건이 함께 왔다.</w:t>
            </w:r>
          </w:p>
          <w:p>
            <w:pPr>
              <w:spacing w:after="80" w:line="276" w:lineRule="auto"/>
              <w:jc w:val="both"/>
            </w:pPr>
            <w:r>
              <w:rPr>
                <w:rFonts w:ascii="Times New Roman" w:hAnsi="Times New Roman" w:eastAsia="바탕"/>
                <w:sz w:val="20"/>
              </w:rPr>
              <w:t>[표 37] 응답자 구성 (n = 34)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11</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after="80" w:line="276" w:lineRule="auto"/>
              <w:jc w:val="both"/>
            </w:pPr>
            <w:r>
              <w:rPr>
                <w:rFonts w:ascii="Times New Roman" w:hAnsi="Times New Roman" w:eastAsia="바탕"/>
                <w:sz w:val="20"/>
              </w:rPr>
              <w:t>응답자가 일한다고 적은 나라는 다섯 대륙에 걸쳐 19개국이며, 한국만 적은 사람이 16명이다.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38] 응답자 34명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(11명)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(5명)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b/>
                      <w:sz w:val="18"/>
                    </w:rPr>
                    <w:t>그 밖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44%(15명)가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39] 글을 읽지 못하는 환자가 이 화면만으로 혼자 약을 제대로 복용할 수 있겠는가 (판단 자격 다섯 구획, n = 24)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16</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11명 중 8명이 이 앱이 만든 지시를 약사가 매번 검토해야 한다고 답했고, 처음 한 번이면 충분하다는 답이 3명이었다. 놓일 자리로는 약사 설명을 보조하는 도구 6명, 환자가 집에서 혼자 확인하는 수단 3명, 약사가 닿지 못하는 환자의 대체 경로 2명이다. 의학적으로 가장 틀리면 안 되는 것으로는 복용량과 횟수 6명, 병용금기와 상호작용 3명을 꼽았다.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숫자를 어디까지 말할 수 있는가</w:t>
            </w:r>
          </w:p>
          <w:p>
            <w:pPr>
              <w:spacing w:after="80" w:line="276" w:lineRule="auto"/>
              <w:jc w:val="both"/>
            </w:pPr>
            <w:r>
              <w:rPr>
                <w:rFonts w:ascii="Times New Roman" w:hAnsi="Times New Roman" w:eastAsia="바탕"/>
                <w:sz w:val="20"/>
              </w:rPr>
              <w:t>n = 34 는 작다.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40] 판단 문항의 비율과 95% 신뢰구간 (n = 24)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16 / 24</w:t>
                  </w:r>
                </w:p>
              </w:tc>
              <w:tc>
                <w:tcPr>
                  <w:tcW w:type="dxa" w:w="2429"/>
                </w:tcPr>
                <w:p>
                  <w:r>
                    <w:rPr>
                      <w:rFonts w:ascii="Times New Roman" w:hAnsi="Times New Roman" w:eastAsia="바탕"/>
                      <w:sz w:val="18"/>
                    </w:rPr>
                    <w:t>66.7%</w:t>
                  </w:r>
                </w:p>
              </w:tc>
              <w:tc>
                <w:tcPr>
                  <w:tcW w:type="dxa" w:w="2429"/>
                </w:tcPr>
                <w:p>
                  <w:r>
                    <w:rPr>
                      <w:rFonts w:ascii="Times New Roman" w:hAnsi="Times New Roman" w:eastAsia="바탕"/>
                      <w:sz w:val="18"/>
                    </w:rPr>
                    <w:t>46.7% ~ 82.0%</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24</w:t>
                  </w:r>
                </w:p>
              </w:tc>
              <w:tc>
                <w:tcPr>
                  <w:tcW w:type="dxa" w:w="2429"/>
                </w:tcPr>
                <w:p>
                  <w:r>
                    <w:rPr>
                      <w:rFonts w:ascii="Times New Roman" w:hAnsi="Times New Roman" w:eastAsia="바탕"/>
                      <w:sz w:val="18"/>
                    </w:rPr>
                    <w:t>29.2%</w:t>
                  </w:r>
                </w:p>
              </w:tc>
              <w:tc>
                <w:tcPr>
                  <w:tcW w:type="dxa" w:w="2429"/>
                </w:tcPr>
                <w:p>
                  <w:r>
                    <w:rPr>
                      <w:rFonts w:ascii="Times New Roman" w:hAnsi="Times New Roman" w:eastAsia="바탕"/>
                      <w:sz w:val="18"/>
                    </w:rPr>
                    <w:t>14.9% ~ 49.2%</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24</w:t>
                  </w:r>
                </w:p>
              </w:tc>
              <w:tc>
                <w:tcPr>
                  <w:tcW w:type="dxa" w:w="2429"/>
                </w:tcPr>
                <w:p>
                  <w:r>
                    <w:rPr>
                      <w:rFonts w:ascii="Times New Roman" w:hAnsi="Times New Roman" w:eastAsia="바탕"/>
                      <w:sz w:val="18"/>
                    </w:rPr>
                    <w:t>4.2%</w:t>
                  </w:r>
                </w:p>
              </w:tc>
              <w:tc>
                <w:tcPr>
                  <w:tcW w:type="dxa" w:w="2429"/>
                </w:tcPr>
                <w:p>
                  <w:r>
                    <w:rPr>
                      <w:rFonts w:ascii="Times New Roman" w:hAnsi="Times New Roman" w:eastAsia="바탕"/>
                      <w:sz w:val="18"/>
                    </w:rPr>
                    <w:t>0.7% ~ 20.2%</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24</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13.8%</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1" name="Picture 21"/>
                  <wp:cNvGraphicFramePr>
                    <a:graphicFrameLocks noChangeAspect="1"/>
                  </wp:cNvGraphicFramePr>
                  <a:graphic>
                    <a:graphicData uri="http://schemas.openxmlformats.org/drawingml/2006/picture">
                      <pic:pic>
                        <pic:nvPicPr>
                          <pic:cNvPr id="0" name="chart10_survey.png"/>
                          <pic:cNvPicPr/>
                        </pic:nvPicPr>
                        <pic:blipFill>
                          <a:blip r:embed="rId3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판단 문항의 비율과 95% 신뢰구간 (n = 24). 점이 비율, 선이 구간이다. 구간이 넓은 것이 이 표본의 크기이며, 그림에서 읽어야 할 것은 점의 위치가 아니라 선의 길이다. "아니오" 가 0건이라도 구간은 13.8%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13.8% 아래일 것이라는 정도이며, 24명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41]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5/20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0.552</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4/11,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34/1,062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0.634</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0/10,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0.019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0.034</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0.717</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다섯 번 돌렸으므로 Bonferroni 보정 문턱은 0.010 이다. 그 문턱을 넘는 것은 마지막 줄 하나뿐이며, 그것은 오래 머문 사람이 더 길게 적었다는 것으로 내용에 관한 발견이 아니다. 즉 이 조사에서 집단 간 차이를 말할 수 있는 것은 없다. 유의하지 않은 검정을 빼고 유의한 것만 싣는 것이 이 표본에서 할 수 있는 가장 나쁜 일이므로, 돌린 것을 모두 적었다.</w:t>
            </w:r>
          </w:p>
          <w:p>
            <w:pPr>
              <w:spacing w:after="80" w:line="276" w:lineRule="auto"/>
              <w:jc w:val="both"/>
            </w:pPr>
            <w:r>
              <w:rPr>
                <w:rFonts w:ascii="Times New Roman" w:hAnsi="Times New Roman" w:eastAsia="바탕"/>
                <w:sz w:val="20"/>
              </w:rPr>
              <w:t>넷째 줄과 다섯째 줄은 흥미롭지만 주장으로 삼지 않는다. 한국어로 답한 열 명 가운데 "가능" 이라고 답한 사람이 하나도 없고 영어로 답한 열넷 중에서는 절반이 그렇게 답했다는 것, 그리고 한국어 응답자가 영어 응답자보다 훨씬 짧게 머물렀다는 것은 보정 전에는 유의하나 보정 후에는 아니다. 그리고 언어는 응답자의 국가·직군과 얽혀 있으므로, 차이가 있다 해도 그것이 언어 때문인지 다른 것 때문인지 이 자료로는 가를 수 없다.</w:t>
            </w:r>
          </w:p>
          <w:p>
            <w:pPr>
              <w:spacing w:after="80" w:line="276" w:lineRule="auto"/>
              <w:jc w:val="both"/>
            </w:pPr>
            <w:r>
              <w:rPr>
                <w:rFonts w:ascii="Times New Roman" w:hAnsi="Times New Roman" w:eastAsia="바탕"/>
                <w:sz w:val="20"/>
              </w:rPr>
              <w:t>여섯째 줄만 따로 읽어 둘 만하다. 소요 시간과 자유 서술량의 순위상관이 0.717 이라는 것은 오래 머문 사람이 실제로 더 많이 적었다는 뜻이며, 응답의 성의를 재는 대리 지표로 쓸 수 있다. 소요 시간 중앙값은 10.3분, 사분위는 6.0분에서 40.5분이다. E. A. Draffan 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34명 중 29명이 적었고 113건이다. 같은 지적이 몇 명에게서 독립적으로 나왔는지를 낱말로 훑어 세면 검증 부재 6명, 한 장의 요소 과다 5명, 시각장애인 5명, 금지 표시 4명, 기존 세트 참조 3명이다.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우크라이나의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적었다.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이용한 한국공예디자인문화진흥원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이용한 선임은 "글을 읽지 못하는 사람 가운데 가장 많은 수는 문맹이 아닌 시각장애인일 것이며, 시각장애인에게는 사진을 찍는 행위 자체가 장애 요소가 된다" 고 적었다. 인도네시아의 Niken Nur Widyakusuma 약사도 시각장애 환자를 훨씬 많이 본다고 답했고, 윤휘열 충남대학교 약학대학 교수는 한국에서는 주로 외국인 환자라고 적었다. §1.5 에서 "글을 읽을 수 있다 해도 그 글이 자기 언어라는 보장이 없다" 고 쓴 것과 같은 방향이며, 우리가 대상을 좁게 잡았다는 뜻이다.</w:t>
            </w:r>
          </w:p>
          <w:p>
            <w:pPr>
              <w:spacing w:before="120" w:after="20"/>
            </w:pPr>
            <w:r>
              <w:rPr>
                <w:rFonts w:ascii="Times New Roman" w:hAnsi="Times New Roman" w:eastAsia="바탕"/>
                <w:b/>
                <w:sz w:val="21"/>
              </w:rPr>
              <w:t>개별 지적</w:t>
            </w:r>
          </w:p>
          <w:p>
            <w:pPr>
              <w:spacing w:after="80" w:line="276" w:lineRule="auto"/>
              <w:jc w:val="both"/>
            </w:pPr>
            <w:r>
              <w:rPr>
                <w:rFonts w:ascii="Times New Roman" w:hAnsi="Times New Roman" w:eastAsia="바탕"/>
                <w:sz w:val="20"/>
              </w:rPr>
              <w:t>Foued Maaoui 파스퇴르연구소(튀니지) 연구원은 되말하기(teach-back)의 부재를 지적했다. 환자가 제대로 이해했는지 확인할 절차가 없으며 환자 안전 관점에서 이 피드백 고리의 부재는 중대한 위험이라는 것이다.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적었다. 우리는 인쇄된 표본으로만 시험했다.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Draffan(Global Symbols)은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적었다.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before="120" w:after="20"/>
            </w:pPr>
            <w:r>
              <w:rPr>
                <w:rFonts w:ascii="Times New Roman" w:hAnsi="Times New Roman" w:eastAsia="바탕"/>
                <w:b/>
                <w:sz w:val="21"/>
              </w:rPr>
              <w:t>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"픽토그램이 직관적으로 정보를 줄 수 있는 좋은 소재이지만 비문해자에게는 이 또한 글자로 느껴질 수 있습니다. '까만 것은 글자고 하얀 것은 종이' 라는 말이 있듯이, 비문해자의 입장에서 인식될 수 있는 디자인과 색감 등을 고려해서 구현하면 좋을 것 같습니다."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적었다.</w:t>
            </w:r>
          </w:p>
          <w:p>
            <w:pPr>
              <w:spacing w:after="180" w:line="276" w:lineRule="auto"/>
              <w:ind w:left="403"/>
            </w:pPr>
            <w:r>
              <w:rPr>
                <w:rFonts w:ascii="Times New Roman" w:hAnsi="Times New Roman" w:eastAsia="바탕"/>
                <w:i/>
                <w:color w:val="606068"/>
                <w:sz w:val="19"/>
              </w:rPr>
              <w:t>"잘못된 정보로 환자가 임의로 투약을 중단하는 상황을 예방하는 게 필요해 보입니다. 예를 들어 이 약물이 임산부에게 위험이 있는 약이어도 환자의 종합적 상태를 고려해 처방되는 경우도 있는데, 다른 의료진의 중재 없이 환자 혼자 확인하게 되는 경우 임의로 약물 치료를 받지 않는 상황이 생길 수 있을 것 같습니다."</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11명 중 8명이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before="120" w:after="20"/>
            </w:pPr>
            <w:r>
              <w:rPr>
                <w:rFonts w:ascii="Times New Roman" w:hAnsi="Times New Roman" w:eastAsia="바탕"/>
                <w:b/>
                <w:sz w:val="21"/>
              </w:rPr>
              <w:t>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튀니지 파스퇴르연구소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한국장애인개발원 최묘정 연구원은 Nielsen 과 Landauer(1993)를 들어 15명 내외의 소규모 표본으로도 사용성 평가의 타당성을 확보할 수 있으며, 소규모 표본은 오히려 사용자 행동과 반응을 세부적으로 파악할 수 있으므로 설문 응답과 함께 행동 분석을 병행하라고 적었다.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복약순응도 도구와 K-HLAT-8·HLS 계열 도구를 함께 쓰라고 적었다.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42]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11명 가운데 9명이 그림과 음성만으로는 전달하면 안 되는 것이 있다고 답했다. 병용금기와 상호작용이 4명,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 마감 앞에서 다시 그리는 것은 도박이라 손대지 않고 §5.10 의 현지 평가로 넘겼다.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시험은 231개에서 257개가 되었다.</w:t>
            </w:r>
          </w:p>
          <w:p>
            <w:pPr>
              <w:spacing w:before="120" w:after="20"/>
            </w:pPr>
            <w:r>
              <w:rPr>
                <w:rFonts w:ascii="Times New Roman" w:hAnsi="Times New Roman" w:eastAsia="바탕"/>
                <w:b/>
                <w:sz w:val="21"/>
              </w:rPr>
              <w:t>이 조사의 한계</w:t>
            </w:r>
          </w:p>
          <w:p>
            <w:pPr>
              <w:spacing w:after="80" w:line="276" w:lineRule="auto"/>
              <w:jc w:val="both"/>
            </w:pPr>
            <w:r>
              <w:rPr>
                <w:rFonts w:ascii="Times New Roman" w:hAnsi="Times New Roman" w:eastAsia="바탕"/>
                <w:sz w:val="20"/>
              </w:rPr>
              <w:t>표본이 자기선택적이다. 1,103명 중 34명이 답했고, 답한 사람은 이 주제에 관심이 있는 사람이다. 답하지 않은 1,069명의 판단은 알 수 없다.</w:t>
            </w:r>
          </w:p>
          <w:p>
            <w:pPr>
              <w:spacing w:after="80" w:line="276" w:lineRule="auto"/>
              <w:jc w:val="both"/>
            </w:pPr>
            <w:r>
              <w:rPr>
                <w:rFonts w:ascii="Times New Roman" w:hAnsi="Times New Roman" w:eastAsia="바탕"/>
                <w:sz w:val="20"/>
              </w:rPr>
              <w:t>분모가 작다. 가장 큰 구획인 약국이 11명이다. 백분율로 적으면 한 사람이 9%p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34명 중 29명이 데스크톱으로 답했고 모바일은 3명, 태블릿은 2명이다.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43]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(WHO GLASS, 2025). 2019년 기준 세균 내성에 직접 기인한 사망은 127만 명으로 HIV/AIDS 나 말라리아보다 많았다 (Murray et al.,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둘째, 문화 적응이 검증되지 않았다. 같은 46명에게 두 세트를 보인 대조 실험에서 현지 제작 픽토그램은 23종 중 20종이 ANSI 기준을 통과한 반면 USP-DI 는 23종 중 11종에 그쳤다 (Dowse &amp; Ehlers,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[표 44]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34명이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표시와 </w:t>
                  </w:r>
                  <w:r>
                    <w:rPr>
                      <w:rFonts w:ascii="Consolas" w:hAnsi="Consolas" w:eastAsia="Consolas"/>
                      <w:sz w:val="17"/>
                    </w:rPr>
                    <w:t>finish_course</w:t>
                  </w:r>
                  <w:r>
                    <w:rPr>
                      <w:rFonts w:ascii="Times New Roman" w:hAnsi="Times New Roman" w:eastAsia="바탕"/>
                      <w:sz w:val="18"/>
                    </w:rPr>
                    <w:t xml:space="preserve"> 는 고쳤다. 한 장의 요소 수 상한은 현지 평가 뒤에 정한다</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있다는 점도 적어 둔다.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after="80" w:line="276" w:lineRule="auto"/>
              <w:jc w:val="both"/>
            </w:pPr>
            <w:r>
              <w:rPr>
                <w:rFonts w:ascii="Times New Roman" w:hAnsi="Times New Roman" w:eastAsia="바탕"/>
                <w:sz w:val="20"/>
              </w:rPr>
              <w:t>&lt;!-- 부록 시작. survey_appendix.py 가 생성한다. 손으로 고치지 말 것 --&gt;</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113건을 문항별로 그대로 싣는다. 줄바꿈만 없애고 손대지 않았다. 짧은 답("N/A", "Yes.")도 뺐다가 넣었다 하지 않고 그대로 둔다.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이교구</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보입니다(https://huggingface.co/spaces/Supertone/supertonic-3).</w:t>
                  </w:r>
                </w:p>
              </w:tc>
            </w:tr>
            <w:tr>
              <w:tc>
                <w:tcPr>
                  <w:tcW w:type="dxa" w:w="3238"/>
                </w:tcPr>
                <w:p>
                  <w:r>
                    <w:rPr>
                      <w:rFonts w:ascii="Times New Roman" w:hAnsi="Times New Roman" w:eastAsia="바탕"/>
                      <w:sz w:val="18"/>
                    </w:rPr>
                    <w:t>(성함 비공개)</w:t>
                  </w:r>
                </w:p>
              </w:tc>
              <w:tc>
                <w:tcPr>
                  <w:tcW w:type="dxa" w:w="3238"/>
                </w:tcPr>
                <w:p>
                  <w:r>
                    <w:rPr>
                      <w:rFonts w:ascii="Times New Roman" w:hAnsi="Times New Roman" w:eastAsia="바탕"/>
                      <w:sz w:val="18"/>
                    </w:rPr>
                    <w:t>GC메디아이 의사랑 서비스센터</w:t>
                  </w:r>
                </w:p>
              </w:tc>
              <w:tc>
                <w:tcPr>
                  <w:tcW w:type="dxa" w:w="3238"/>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3238"/>
                </w:tcPr>
                <w:p>
                  <w:r>
                    <w:rPr>
                      <w:rFonts w:ascii="Times New Roman" w:hAnsi="Times New Roman" w:eastAsia="바탕"/>
                      <w:sz w:val="18"/>
                    </w:rPr>
                    <w:t>박경서</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3238"/>
                </w:tcPr>
                <w:p>
                  <w:r>
                    <w:rPr>
                      <w:rFonts w:ascii="Times New Roman" w:hAnsi="Times New Roman" w:eastAsia="바탕"/>
                      <w:sz w:val="18"/>
                    </w:rPr>
                    <w:t>서희정</w:t>
                  </w:r>
                </w:p>
              </w:tc>
              <w:tc>
                <w:tcPr>
                  <w:tcW w:type="dxa" w:w="3238"/>
                </w:tcPr>
                <w:p>
                  <w:r>
                    <w:rPr>
                      <w:rFonts w:ascii="Times New Roman" w:hAnsi="Times New Roman" w:eastAsia="바탕"/>
                      <w:sz w:val="18"/>
                    </w:rPr>
                    <w:t>동의대학교</w:t>
                  </w:r>
                </w:p>
              </w:tc>
              <w:tc>
                <w:tcPr>
                  <w:tcW w:type="dxa" w:w="3238"/>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3238"/>
                </w:tcPr>
                <w:p>
                  <w:r>
                    <w:rPr>
                      <w:rFonts w:ascii="Times New Roman" w:hAnsi="Times New Roman" w:eastAsia="바탕"/>
                      <w:sz w:val="18"/>
                    </w:rPr>
                    <w:t>이경화</w:t>
                  </w:r>
                </w:p>
              </w:tc>
              <w:tc>
                <w:tcPr>
                  <w:tcW w:type="dxa" w:w="3238"/>
                </w:tcPr>
                <w:p>
                  <w:r>
                    <w:rPr>
                      <w:rFonts w:ascii="Times New Roman" w:hAnsi="Times New Roman" w:eastAsia="바탕"/>
                      <w:sz w:val="18"/>
                    </w:rPr>
                    <w:t>숭실대학교</w:t>
                  </w:r>
                </w:p>
              </w:tc>
              <w:tc>
                <w:tcPr>
                  <w:tcW w:type="dxa" w:w="3238"/>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3238"/>
                </w:tcPr>
                <w:p>
                  <w:r>
                    <w:rPr>
                      <w:rFonts w:ascii="Times New Roman" w:hAnsi="Times New Roman" w:eastAsia="바탕"/>
                      <w:sz w:val="18"/>
                    </w:rPr>
                    <w:t>조성일</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나라마다 상황이 다른 점을 앞으로 반영할 계획 필요</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Nothing. Good look!</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N/A</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3238"/>
                </w:tcPr>
                <w:p>
                  <w:r>
                    <w:rPr>
                      <w:rFonts w:ascii="Times New Roman" w:hAnsi="Times New Roman" w:eastAsia="바탕"/>
                      <w:sz w:val="18"/>
                    </w:rPr>
                    <w:t>Rahul Malhotra</w:t>
                  </w:r>
                </w:p>
              </w:tc>
              <w:tc>
                <w:tcPr>
                  <w:tcW w:type="dxa" w:w="3238"/>
                </w:tcPr>
                <w:p>
                  <w:r>
                    <w:rPr>
                      <w:rFonts w:ascii="Times New Roman" w:hAnsi="Times New Roman" w:eastAsia="바탕"/>
                      <w:sz w:val="18"/>
                    </w:rPr>
                    <w:t>Duke-NUS Medical School</w:t>
                  </w:r>
                </w:p>
              </w:tc>
              <w:tc>
                <w:tcPr>
                  <w:tcW w:type="dxa" w:w="3238"/>
                </w:tcPr>
                <w:p>
                  <w:r>
                    <w:rPr>
                      <w:rFonts w:ascii="Times New Roman" w:hAnsi="Times New Roman" w:eastAsia="바탕"/>
                      <w:sz w:val="18"/>
                    </w:rPr>
                    <w:t>Pictograms need to validated for understanding before use</w:t>
                  </w:r>
                </w:p>
              </w:tc>
            </w:tr>
            <w:tr>
              <w:tc>
                <w:tcPr>
                  <w:tcW w:type="dxa" w:w="3238"/>
                </w:tcPr>
                <w:p>
                  <w:r>
                    <w:rPr>
                      <w:rFonts w:ascii="Times New Roman" w:hAnsi="Times New Roman" w:eastAsia="바탕"/>
                      <w:sz w:val="18"/>
                    </w:rPr>
                    <w:t>조성일</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그림이 무슨 뜻인지 모르거나 잘못 해석할 수 있음</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It is clear and concise</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3238"/>
                </w:tcPr>
                <w:p>
                  <w:r>
                    <w:rPr>
                      <w:rFonts w:ascii="Times New Roman" w:hAnsi="Times New Roman" w:eastAsia="바탕"/>
                      <w:sz w:val="18"/>
                    </w:rPr>
                    <w:t>Srikanth Malavalli Siddalingegwod</w:t>
                  </w:r>
                </w:p>
              </w:tc>
              <w:tc>
                <w:tcPr>
                  <w:tcW w:type="dxa" w:w="3238"/>
                </w:tcPr>
                <w:p>
                  <w:r>
                    <w:rPr>
                      <w:rFonts w:ascii="Times New Roman" w:hAnsi="Times New Roman" w:eastAsia="바탕"/>
                      <w:sz w:val="18"/>
                    </w:rPr>
                    <w:t>JSS College of Pharmacy</w:t>
                  </w:r>
                </w:p>
              </w:tc>
              <w:tc>
                <w:tcPr>
                  <w:tcW w:type="dxa" w:w="3238"/>
                </w:tcPr>
                <w:p>
                  <w:r>
                    <w:rPr>
                      <w:rFonts w:ascii="Times New Roman" w:hAnsi="Times New Roman" w:eastAsia="바탕"/>
                      <w:sz w:val="18"/>
                    </w:rPr>
                    <w:t>it will be a so much helpful lot of patient with disabilities and illiterate.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The picture is more aligned to people who cannot read without under estimating their intelligence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fridge vs at mid-day Maybe at least two colours would be beneficial to some patients - black + red (warnings), black+yellow (for day); ...</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Yes.</w:t>
                  </w:r>
                </w:p>
              </w:tc>
            </w:tr>
            <w:tr>
              <w:tc>
                <w:tcPr>
                  <w:tcW w:type="dxa" w:w="3238"/>
                </w:tcPr>
                <w:p>
                  <w:r>
                    <w:rPr>
                      <w:rFonts w:ascii="Times New Roman" w:hAnsi="Times New Roman" w:eastAsia="바탕"/>
                      <w:sz w:val="18"/>
                    </w:rPr>
                    <w:t>유명순</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절반의 그림</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Raisa Kravchenko</w:t>
                  </w:r>
                </w:p>
              </w:tc>
              <w:tc>
                <w:tcPr>
                  <w:tcW w:type="dxa" w:w="3238"/>
                </w:tcPr>
                <w:p>
                  <w:r>
                    <w:rPr>
                      <w:rFonts w:ascii="Times New Roman" w:hAnsi="Times New Roman" w:eastAsia="바탕"/>
                      <w:sz w:val="18"/>
                    </w:rPr>
                    <w:t>All Ukrainian NGO Coalition</w:t>
                  </w:r>
                </w:p>
              </w:tc>
              <w:tc>
                <w:tcPr>
                  <w:tcW w:type="dxa" w:w="3238"/>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The design needs robust testing. It looks to me that interpretation errors may happen, especially in cross-cultural practice.</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Raisa Kravchenko</w:t>
                  </w:r>
                </w:p>
              </w:tc>
              <w:tc>
                <w:tcPr>
                  <w:tcW w:type="dxa" w:w="3238"/>
                </w:tcPr>
                <w:p>
                  <w:r>
                    <w:rPr>
                      <w:rFonts w:ascii="Times New Roman" w:hAnsi="Times New Roman" w:eastAsia="바탕"/>
                      <w:sz w:val="18"/>
                    </w:rPr>
                    <w:t>All Ukrainian NGO Coalition</w:t>
                  </w:r>
                </w:p>
              </w:tc>
              <w:tc>
                <w:tcPr>
                  <w:tcW w:type="dxa" w:w="3238"/>
                </w:tcPr>
                <w:p>
                  <w:r>
                    <w:rPr>
                      <w:rFonts w:ascii="Times New Roman" w:hAnsi="Times New Roman" w:eastAsia="바탕"/>
                      <w:sz w:val="18"/>
                    </w:rPr>
                    <w:t>It is OK with problem framing and 2 ways of presentation of the medicine intake solutions.</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The pictograms need to be tested in the real world to ascertain their utility in patient information and medication use.</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3238"/>
                </w:tcPr>
                <w:p>
                  <w:r>
                    <w:rPr>
                      <w:rFonts w:ascii="Times New Roman" w:hAnsi="Times New Roman" w:eastAsia="바탕"/>
                      <w:sz w:val="18"/>
                    </w:rPr>
                    <w:t>Srikanth Malavalli Siddalingegwod</w:t>
                  </w:r>
                </w:p>
              </w:tc>
              <w:tc>
                <w:tcPr>
                  <w:tcW w:type="dxa" w:w="3238"/>
                </w:tcPr>
                <w:p>
                  <w:r>
                    <w:rPr>
                      <w:rFonts w:ascii="Times New Roman" w:hAnsi="Times New Roman" w:eastAsia="바탕"/>
                      <w:sz w:val="18"/>
                    </w:rPr>
                    <w:t>JSS College of Pharmacy</w:t>
                  </w:r>
                </w:p>
              </w:tc>
              <w:tc>
                <w:tcPr>
                  <w:tcW w:type="dxa" w:w="3238"/>
                </w:tcPr>
                <w:p>
                  <w:r>
                    <w:rPr>
                      <w:rFonts w:ascii="Times New Roman" w:hAnsi="Times New Roman" w:eastAsia="바탕"/>
                      <w:sz w:val="18"/>
                    </w:rPr>
                    <w:t>Moreover, it will help to achieve proper medication adherence and to get desired therapeutic outcome</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환자에게 불필요한 정보를 주어 약물치료를 중단하는 사례도 있을 수 있을 것 같음.</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Because the instructions have to be standardized/ validated for public use.</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(6건)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윤휘열</w:t>
                  </w:r>
                </w:p>
              </w:tc>
              <w:tc>
                <w:tcPr>
                  <w:tcW w:type="dxa" w:w="3238"/>
                </w:tcPr>
                <w:p>
                  <w:r>
                    <w:rPr>
                      <w:rFonts w:ascii="Times New Roman" w:hAnsi="Times New Roman" w:eastAsia="바탕"/>
                      <w:sz w:val="18"/>
                    </w:rPr>
                    <w:t>충남대학교 약학대학</w:t>
                  </w:r>
                </w:p>
              </w:tc>
              <w:tc>
                <w:tcPr>
                  <w:tcW w:type="dxa" w:w="3238"/>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Simplify the regimen. Embed something that can be feel by patient with visual impairment, such as  tearing the packages a bit.</w:t>
                  </w:r>
                </w:p>
              </w:tc>
            </w:tr>
            <w:tr>
              <w:tc>
                <w:tcPr>
                  <w:tcW w:type="dxa" w:w="3238"/>
                </w:tcPr>
                <w:p>
                  <w:r>
                    <w:rPr>
                      <w:rFonts w:ascii="Times New Roman" w:hAnsi="Times New Roman" w:eastAsia="바탕"/>
                      <w:sz w:val="18"/>
                    </w:rPr>
                    <w:t>Samirah Abdu-Aguye</w:t>
                  </w:r>
                </w:p>
              </w:tc>
              <w:tc>
                <w:tcPr>
                  <w:tcW w:type="dxa" w:w="3238"/>
                </w:tcPr>
                <w:p>
                  <w:r>
                    <w:rPr>
                      <w:rFonts w:ascii="Times New Roman" w:hAnsi="Times New Roman" w:eastAsia="바탕"/>
                      <w:sz w:val="18"/>
                    </w:rPr>
                    <w:t>Ahmadu Bello University, Zaria</w:t>
                  </w:r>
                </w:p>
              </w:tc>
              <w:tc>
                <w:tcPr>
                  <w:tcW w:type="dxa" w:w="3238"/>
                </w:tcPr>
                <w:p>
                  <w:r>
                    <w:rPr>
                      <w:rFonts w:ascii="Times New Roman" w:hAnsi="Times New Roman" w:eastAsia="바탕"/>
                      <w:sz w:val="18"/>
                    </w:rPr>
                    <w:t>Carefully explain to the patient, and have them repeat after me. Also talk to some other relative/caregiver of the patient</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Explain verbally, and ensure the patient understands how to use it correctly.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Draw pictures. Show them pictures from internet at dispensing counter</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Interactions with other medicines/OTC/dietary supplements/health-care condition that may be clinically significant.</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Instead of 3 times a day, better to say every 8 hours</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Instruction to contact MD or pharmacist.</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윤휘열</w:t>
                  </w:r>
                </w:p>
              </w:tc>
              <w:tc>
                <w:tcPr>
                  <w:tcW w:type="dxa" w:w="3238"/>
                </w:tcPr>
                <w:p>
                  <w:r>
                    <w:rPr>
                      <w:rFonts w:ascii="Times New Roman" w:hAnsi="Times New Roman" w:eastAsia="바탕"/>
                      <w:sz w:val="18"/>
                    </w:rPr>
                    <w:t>충남대학교 약학대학</w:t>
                  </w:r>
                </w:p>
              </w:tc>
              <w:tc>
                <w:tcPr>
                  <w:tcW w:type="dxa" w:w="3238"/>
                </w:tcPr>
                <w:p>
                  <w:r>
                    <w:rPr>
                      <w:rFonts w:ascii="Times New Roman" w:hAnsi="Times New Roman" w:eastAsia="바탕"/>
                      <w:sz w:val="18"/>
                    </w:rPr>
                    <w:t>https://health.kr/mediCounsel/pictogram.asp 전세계약사들을 위한 픽토그램 정보를 확인하실 수 있습니다.</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Yes, USP pictograms.</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This will only work for typed text</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3238"/>
                </w:tcPr>
                <w:p>
                  <w:r>
                    <w:rPr>
                      <w:rFonts w:ascii="Times New Roman" w:hAnsi="Times New Roman" w:eastAsia="바탕"/>
                      <w:sz w:val="18"/>
                    </w:rPr>
                    <w:t>송민선</w:t>
                  </w:r>
                </w:p>
              </w:tc>
              <w:tc>
                <w:tcPr>
                  <w:tcW w:type="dxa" w:w="3238"/>
                </w:tcPr>
                <w:p>
                  <w:r>
                    <w:rPr>
                      <w:rFonts w:ascii="Times New Roman" w:hAnsi="Times New Roman" w:eastAsia="바탕"/>
                      <w:sz w:val="18"/>
                    </w:rPr>
                    <w:t>건양대학교</w:t>
                  </w:r>
                </w:p>
              </w:tc>
              <w:tc>
                <w:tcPr>
                  <w:tcW w:type="dxa" w:w="3238"/>
                </w:tcPr>
                <w:p>
                  <w:r>
                    <w:rPr>
                      <w:rFonts w:ascii="Times New Roman" w:hAnsi="Times New Roman" w:eastAsia="바탕"/>
                      <w:sz w:val="18"/>
                    </w:rPr>
                    <w:t>만성질환이 많은 노인대상자들이라면 복약순응도가 높아지면 건강결과는 바뀔수 있습니다.</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3238"/>
                </w:tcPr>
                <w:p>
                  <w:r>
                    <w:rPr>
                      <w:rFonts w:ascii="Times New Roman" w:hAnsi="Times New Roman" w:eastAsia="바탕"/>
                      <w:sz w:val="18"/>
                    </w:rPr>
                    <w:t>Aliya Naheed</w:t>
                  </w:r>
                </w:p>
              </w:tc>
              <w:tc>
                <w:tcPr>
                  <w:tcW w:type="dxa" w:w="3238"/>
                </w:tcPr>
                <w:p>
                  <w:r>
                    <w:rPr>
                      <w:rFonts w:ascii="Times New Roman" w:hAnsi="Times New Roman" w:eastAsia="바탕"/>
                      <w:sz w:val="18"/>
                    </w:rPr>
                    <w:t>icddr,b</w:t>
                  </w:r>
                </w:p>
              </w:tc>
              <w:tc>
                <w:tcPr>
                  <w:tcW w:type="dxa" w:w="3238"/>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조성일</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위 1,2,3 모두 가능</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 suggest two instruments should be used the medication adherence and the K-HLAT-*, HLS Family</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 am not convinced anybody actually gets proper medication information</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Not that i know off</w:t>
                  </w:r>
                </w:p>
              </w:tc>
            </w:tr>
            <w:tr>
              <w:tc>
                <w:tcPr>
                  <w:tcW w:type="dxa" w:w="3238"/>
                </w:tcPr>
                <w:p>
                  <w:r>
                    <w:rPr>
                      <w:rFonts w:ascii="Times New Roman" w:hAnsi="Times New Roman" w:eastAsia="바탕"/>
                      <w:sz w:val="18"/>
                    </w:rPr>
                    <w:t>송민선</w:t>
                  </w:r>
                </w:p>
              </w:tc>
              <w:tc>
                <w:tcPr>
                  <w:tcW w:type="dxa" w:w="3238"/>
                </w:tcPr>
                <w:p>
                  <w:r>
                    <w:rPr>
                      <w:rFonts w:ascii="Times New Roman" w:hAnsi="Times New Roman" w:eastAsia="바탕"/>
                      <w:sz w:val="18"/>
                    </w:rPr>
                    <w:t>건양대학교</w:t>
                  </w:r>
                </w:p>
              </w:tc>
              <w:tc>
                <w:tcPr>
                  <w:tcW w:type="dxa" w:w="3238"/>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Although i do not feel  separate designs will be required</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3238"/>
                </w:tcPr>
                <w:p>
                  <w:r>
                    <w:rPr>
                      <w:rFonts w:ascii="Times New Roman" w:hAnsi="Times New Roman" w:eastAsia="바탕"/>
                      <w:sz w:val="18"/>
                    </w:rPr>
                    <w:t>송민선</w:t>
                  </w:r>
                </w:p>
              </w:tc>
              <w:tc>
                <w:tcPr>
                  <w:tcW w:type="dxa" w:w="3238"/>
                </w:tcPr>
                <w:p>
                  <w:r>
                    <w:rPr>
                      <w:rFonts w:ascii="Times New Roman" w:hAnsi="Times New Roman" w:eastAsia="바탕"/>
                      <w:sz w:val="18"/>
                    </w:rPr>
                    <w:t>건양대학교</w:t>
                  </w:r>
                </w:p>
              </w:tc>
              <w:tc>
                <w:tcPr>
                  <w:tcW w:type="dxa" w:w="3238"/>
                </w:tcPr>
                <w:p>
                  <w:r>
                    <w:rPr>
                      <w:rFonts w:ascii="Times New Roman" w:hAnsi="Times New Roman" w:eastAsia="바탕"/>
                      <w:sz w:val="18"/>
                    </w:rPr>
                    <w:t>환자와 보호자가 동시에 이해할 수 있도록 구성해야 합니다.</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11</w:t>
                  </w:r>
                </w:p>
              </w:tc>
              <w:tc>
                <w:tcPr>
                  <w:tcW w:type="dxa" w:w="3238"/>
                </w:tcPr>
                <w:p>
                  <w:r>
                    <w:rPr>
                      <w:rFonts w:ascii="Times New Roman" w:hAnsi="Times New Roman" w:eastAsia="바탕"/>
                      <w:sz w:val="18"/>
                    </w:rPr>
                    <w:t>32%</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14</w:t>
                  </w:r>
                </w:p>
              </w:tc>
              <w:tc>
                <w:tcPr>
                  <w:tcW w:type="dxa" w:w="3238"/>
                </w:tcPr>
                <w:p>
                  <w:r>
                    <w:rPr>
                      <w:rFonts w:ascii="Times New Roman" w:hAnsi="Times New Roman" w:eastAsia="바탕"/>
                      <w:sz w:val="18"/>
                    </w:rPr>
                    <w:t>41%</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12%</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29%</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73%</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27%</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55%</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27%</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73%</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sz w:val="20"/>
              </w:rPr>
              <w:t>&lt;!-- 부록 끝 --&gt;</w:t>
            </w: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