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\inhaler{\food_bowl}</w:t>
            </w:r>
            <w:r>
              <w:rPr>
                <w:rFonts w:ascii="Times New Roman" w:hAnsi="Times New Roman" w:eastAsia="바탕"/>
                <w:sz w:val="20"/>
              </w:rPr>
              <w:t xml:space="preserve"> (an inhaler with a meal),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Where we handle that tension is not the grammar but the side that uses it. The engine accepts several modifiers on one head: the first goes inside the head's slot and the second onward are laid in a strip above it. The app, however, uses only one modifier per head, and when a body site and a meal context both apply it emits one of them as a separate picture (</w:t>
            </w:r>
            <w:r>
              <w:rPr>
                <w:rFonts w:ascii="Consolas" w:hAnsi="Consolas" w:eastAsia="Consolas"/>
                <w:sz w:val="19"/>
              </w:rPr>
              <w:t>lib/snapcare/sigil.ts</w:t>
            </w:r>
            <w:r>
              <w:rPr>
                <w:rFonts w:ascii="Times New Roman" w:hAnsi="Times New Roman" w:eastAsia="바탕"/>
                <w:sz w:val="20"/>
              </w:rPr>
              <w:t>). What can be piled onto one picture and what still reads once piled on are different things, and this is something we decided rather than something the grammar prevented.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food_empty_bowl</w:t>
                  </w:r>
                  <w:r>
                    <w:rPr>
                      <w:rFonts w:ascii="Times New Roman" w:hAnsi="Times New Roman" w:eastAsia="바탕"/>
                      <w:sz w:val="18"/>
                    </w:rPr>
                    <w:t xml:space="preserve"> goes in the head's slot and </w:t>
                  </w:r>
                  <w:r>
                    <w:rPr>
                      <w:rFonts w:ascii="Consolas" w:hAnsi="Consolas" w:eastAsia="Consolas"/>
                      <w:sz w:val="17"/>
                    </w:rPr>
                    <w:t>time_morning</w:t>
                  </w:r>
                  <w:r>
                    <w:rPr>
                      <w:rFonts w:ascii="Times New Roman" w:hAnsi="Times New Roman" w:eastAsia="바탕"/>
                      <w:sz w:val="18"/>
                    </w:rPr>
                    <w:t xml:space="preserve"> follows it, so "on an empty stomach, in the morning" comes out as two pictures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goes into a slot inside a head (count, refrigerate, eye, mouth).</w:t>
            </w:r>
          </w:p>
          <w:p>
            <w:pPr>
              <w:spacing w:after="80" w:line="276" w:lineRule="auto"/>
              <w:jc w:val="both"/>
            </w:pPr>
            <w:r>
              <w:rPr>
                <w:rFonts w:ascii="Times New Roman" w:hAnsi="Times New Roman" w:eastAsia="바탕"/>
                <w:sz w:val="20"/>
              </w:rPr>
              <w:t xml:space="preserve">Four of the modifiers can also stand alone: the time morphemes for morning, midday, evening and night. They are marked </w:t>
            </w:r>
            <w:r>
              <w:rPr>
                <w:rFonts w:ascii="Consolas" w:hAnsi="Consolas" w:eastAsia="Consolas"/>
                <w:sz w:val="19"/>
              </w:rPr>
              <w:t>standalone</w:t>
            </w:r>
            <w:r>
              <w:rPr>
                <w:rFonts w:ascii="Times New Roman" w:hAnsi="Times New Roman" w:eastAsia="바탕"/>
                <w:sz w:val="20"/>
              </w:rPr>
              <w:t xml:space="preserve"> in the dictionary and the parser allows them on the strength of that mark, because a dose time is both a condition attached to a medicine and an instruction in itself. One picture saying "in the evening", standing after the picture of the medicine, is the instruction. The count of 1,258 expressions in §1.9 adds those four separately for the same reason.</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three kinds in Table 12 are the ones the user is asked about. A fourth exists in the data model and is never asked: conditions a person cannot know of themselves, which surface only once meal records accumulate, and which are kept off the self-report list altogether. What sits there at present is soy and sesame. The reason those two were chosen is the argument of §1.5. Without ever having been tested, there is no way to know one reacts to them, and asking returns "no".</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 Three is the number of servos fitted to the machine we built; the firmware reserves pins for eight layers and the paper form accepts eight as well, so plugging a fourth servo into the pin already reserved for it is the whole job, with no configuration to edit.</w:t>
            </w:r>
          </w:p>
          <w:p>
            <w:pPr>
              <w:spacing w:after="80" w:line="276" w:lineRule="auto"/>
              <w:jc w:val="both"/>
            </w:pPr>
            <w:r>
              <w:rPr>
                <w:rFonts w:ascii="Times New Roman" w:hAnsi="Times New Roman" w:eastAsia="바탕"/>
                <w:sz w:val="20"/>
              </w:rPr>
              <w:t xml:space="preserve">The risk that comes with it is written down by the firmware itself, so it is carried across here. An SG90 servo reports nothing, so the machine has no way of knowing whether a hopper is fitted in a given position. Accepting all eight therefore means accepting a schedule that names a tray which does not exist, and that dose is then never dispensed while raising no error at all: no jam, no indication, a machine that looks perfectly healthy. Recording the number actually fitted in </w:t>
            </w:r>
            <w:r>
              <w:rPr>
                <w:rFonts w:ascii="Consolas" w:hAnsi="Consolas" w:eastAsia="Consolas"/>
                <w:sz w:val="19"/>
              </w:rPr>
              <w:t>SNAPCARE_TRAYS</w:t>
            </w:r>
            <w:r>
              <w:rPr>
                <w:rFonts w:ascii="Times New Roman" w:hAnsi="Times New Roman" w:eastAsia="바탕"/>
                <w:sz w:val="20"/>
              </w:rPr>
              <w:t xml:space="preserve"> blocks such a schedule at the point where it is accepted, and the machine this document measures has three.</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r>
              <w:tc>
                <w:tcPr>
                  <w:tcW w:type="dxa" w:w="3238"/>
                </w:tcPr>
                <w:p>
                  <w:r>
                    <w:rPr>
                      <w:rFonts w:ascii="Times New Roman" w:hAnsi="Times New Roman" w:eastAsia="바탕"/>
                      <w:sz w:val="18"/>
                    </w:rPr>
                    <w:t>A handwritten prescription</w:t>
                  </w:r>
                </w:p>
              </w:tc>
              <w:tc>
                <w:tcPr>
                  <w:tcW w:type="dxa" w:w="3238"/>
                </w:tcPr>
                <w:p>
                  <w:r>
                    <w:rPr>
                      <w:rFonts w:ascii="Times New Roman" w:hAnsi="Times New Roman" w:eastAsia="바탕"/>
                      <w:sz w:val="18"/>
                    </w:rPr>
                    <w:t>Recognition judges the sheet to be handwritten</w:t>
                  </w:r>
                </w:p>
              </w:tc>
              <w:tc>
                <w:tcPr>
                  <w:tcW w:type="dxa" w:w="3238"/>
                </w:tcPr>
                <w:p>
                  <w:r>
                    <w:rPr>
                      <w:rFonts w:ascii="Times New Roman" w:hAnsi="Times New Roman" w:eastAsia="바탕"/>
                      <w:sz w:val="18"/>
                    </w:rPr>
                    <w:t>Caution. Green never lights</w:t>
                  </w:r>
                </w:p>
              </w:tc>
            </w:tr>
          </w:tbl>
          <w:p/>
          <w:p>
            <w:pPr>
              <w:spacing w:after="120"/>
            </w:pPr>
          </w:p>
          <w:p>
            <w:pPr>
              <w:spacing w:after="80" w:line="276" w:lineRule="auto"/>
              <w:jc w:val="both"/>
            </w:pPr>
            <w:r>
              <w:rPr>
                <w:rFonts w:ascii="Times New Roman" w:hAnsi="Times New Roman" w:eastAsia="바탕"/>
                <w:sz w:val="20"/>
              </w:rPr>
              <w:t>The fifth row came out of a point raised in §5.7. Told that it would not work on a handwritten prescription, we put a real one in and found that it did not fail to work but worked wrongly, with green lit on top of it. What this row does is erase the confidence rather than what was read. The account is in §5.7.</w:t>
            </w: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The counting is deliberately narrow. What reaches this calendar is only the doses a paired box reported. When the box offered a tray and nobody pressed, that arrives as missed; when someone pressed, it arrives as taken. Records a person left by photographing are not in this number, and not because they cannot be counted but because they must not be. A hand-left record says only that a dose was taken and never that one was missed, since nobody opens the app on the day they skip. Put those in the denominator and adherence is always 100%. So for a user without a box this calendar is empty, and it is drawn not at all rather than shown as 0%.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Three trays fitted, eight layers reserved in firmware</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Always on (</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The last row should be set down first. At the outset, to avoid leaving a machine idle, we set </w:t>
            </w:r>
            <w:r>
              <w:rPr>
                <w:rFonts w:ascii="Consolas" w:hAnsi="Consolas" w:eastAsia="Consolas"/>
                <w:sz w:val="19"/>
              </w:rPr>
              <w:t>min_machines_running = 0</w:t>
            </w:r>
            <w:r>
              <w:rPr>
                <w:rFonts w:ascii="Times New Roman" w:hAnsi="Times New Roman" w:eastAsia="바탕"/>
                <w:sz w:val="20"/>
              </w:rPr>
              <w:t>, which stops the machine when nobody is using it and wakes it on the first request. Measured on 3 August 2026, the first request took 6.5 seconds and the ones after it 0.17.</w:t>
            </w:r>
          </w:p>
          <w:p>
            <w:pPr>
              <w:spacing w:after="80" w:line="276" w:lineRule="auto"/>
              <w:jc w:val="both"/>
            </w:pPr>
            <w:r>
              <w:rPr>
                <w:rFonts w:ascii="Times New Roman" w:hAnsi="Times New Roman" w:eastAsia="바탕"/>
                <w:sz w:val="20"/>
              </w:rPr>
              <w:t xml:space="preserve">We then decided to remove that 6.5 seconds and changed the configuration. </w:t>
            </w:r>
            <w:r>
              <w:rPr>
                <w:rFonts w:ascii="Consolas" w:hAnsi="Consolas" w:eastAsia="Consolas"/>
                <w:sz w:val="19"/>
              </w:rPr>
              <w:t>min_machines_running = 1</w:t>
            </w:r>
            <w:r>
              <w:rPr>
                <w:rFonts w:ascii="Times New Roman" w:hAnsi="Times New Roman" w:eastAsia="바탕"/>
                <w:sz w:val="20"/>
              </w:rPr>
              <w:t xml:space="preserve"> was not enough on its own, because that value is the minimum number to keep while there is traffic and does not start a machine that is already stopped. Immediately after a deploy the machine sat stopped and the first request took 6.4 seconds. With </w:t>
            </w:r>
            <w:r>
              <w:rPr>
                <w:rFonts w:ascii="Consolas" w:hAnsi="Consolas" w:eastAsia="Consolas"/>
                <w:sz w:val="19"/>
              </w:rPr>
              <w:t>auto_stop_machines</w:t>
            </w:r>
            <w:r>
              <w:rPr>
                <w:rFonts w:ascii="Times New Roman" w:hAnsi="Times New Roman" w:eastAsia="바탕"/>
                <w:sz w:val="20"/>
              </w:rPr>
              <w:t xml:space="preserve"> set to </w:t>
            </w:r>
            <w:r>
              <w:rPr>
                <w:rFonts w:ascii="Consolas" w:hAnsi="Consolas" w:eastAsia="Consolas"/>
                <w:sz w:val="19"/>
              </w:rPr>
              <w:t>off</w:t>
            </w:r>
            <w:r>
              <w:rPr>
                <w:rFonts w:ascii="Times New Roman" w:hAnsi="Times New Roman" w:eastAsia="바탕"/>
                <w:sz w:val="20"/>
              </w:rPr>
              <w:t xml:space="preserve"> and 5 minutes 30 seconds of idling, the measurement was 0.50 seconds.</w:t>
            </w:r>
          </w:p>
          <w:p>
            <w:pPr>
              <w:spacing w:after="80" w:line="276" w:lineRule="auto"/>
              <w:jc w:val="both"/>
            </w:pPr>
            <w:r>
              <w:rPr>
                <w:rFonts w:ascii="Times New Roman" w:hAnsi="Times New Roman" w:eastAsia="바탕"/>
                <w:sz w:val="20"/>
              </w:rPr>
              <w:t>As of 4 August 2026, opening the deployment three times in a row measures 0.22, 0.20 and 0.17 seconds. That is what someone who reads this document and opens the deployment meets. It should also be said that this is a configuration that spends money. Setting the machine back to stopping would bring back the six seconds for whoever opens it first.</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and visiting fellow in accessibility at Global Symbols and the University of Southampton; Raisa Kravchenko, Deputy Director of the All Ukrainian NGO Coalition for Persons with Intellectual Disabilities; Professor Youngmee Lee of the Department of Communication Disorders at Ewha Womans University; Professor Eunkyung Kim of Kongju National University; and Myojeong Choi, Researcher, and Kyoungseo Park, Assistant Manager, of the Korea Disabled People's Development Institute all hold posts that deal with intellectual disability, autism and communication disorders.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2026-08-04T10:51:59Z</dcterms:modified>
  <cp:contentStatus>src:ccabe8ce7703</cp:contentStatus>
</cp:coreProperties>
</file>