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delivers not only speech but pictures that depict the action.</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To summarise, this field has observed two things together. Well-made pictures do in fact reduce errors (Yin et al., 2008: 47.8% to 5.4%). And making them does not mean making them well (Gutierrez et al., 2022: 17 of 108). The first is the reason to take this approach, and the second is the reason to measure afterwards.</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comprehensibility alongside.</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confirmed that the barriers involve not only literacy but cognitive difficulty, cultural etiquette, prior exposure, intimidation, mediation, motivation, cost, power relations and social standing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It should be noted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It is not only the verb that changes but the body site.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real questions that follow, age and conditions, read with the same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Nothing has to be pressed in order to learn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of Global Symbols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the scope of the sweep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Three things were not conceded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was decided not to ask should also be recorded.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ArUco detection was written directly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The Python version was kept rather than deleted,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Rules for handling the list were written down separately.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Language was decided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A morpheme comprehension test was left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of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of Global Symbols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The result of the WCAG 2.2 sweep and what was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of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of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The samples were corrected.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of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of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of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in order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A pixel-level check for similar pairs was added too.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The wording for standing alone was kept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of the Korea Craft and Design Foundation exactly: a hand under a running tap.</w:t>
            </w:r>
          </w:p>
          <w:p>
            <w:pPr>
              <w:spacing w:after="80" w:line="276" w:lineRule="auto"/>
              <w:jc w:val="both"/>
            </w:pPr>
            <w:r>
              <w:rPr>
                <w:rFonts w:ascii="Times New Roman" w:hAnsi="Times New Roman" w:eastAsia="바탕"/>
                <w:sz w:val="20"/>
              </w:rPr>
              <w:t>The accessibility criteria were swept. Checking WCAG 2.2 item by item, as E. A. Draffan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this sweep is something we would not have done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in order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Kyogu Lee</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3238"/>
                </w:tcPr>
                <w:p>
                  <w:r>
                    <w:rPr>
                      <w:rFonts w:ascii="Times New Roman" w:hAnsi="Times New Roman" w:eastAsia="바탕"/>
                      <w:sz w:val="18"/>
                    </w:rPr>
                    <w:t>(name withheld)</w:t>
                  </w:r>
                </w:p>
              </w:tc>
              <w:tc>
                <w:tcPr>
                  <w:tcW w:type="dxa" w:w="3238"/>
                </w:tcPr>
                <w:p>
                  <w:r>
                    <w:rPr>
                      <w:rFonts w:ascii="Times New Roman" w:hAnsi="Times New Roman" w:eastAsia="바탕"/>
                      <w:sz w:val="18"/>
                    </w:rPr>
                    <w:t>GC Medi-AI, Uisarang Service Centre</w:t>
                  </w:r>
                </w:p>
              </w:tc>
              <w:tc>
                <w:tcPr>
                  <w:tcW w:type="dxa" w:w="3238"/>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3238"/>
                </w:tcPr>
                <w:p>
                  <w:r>
                    <w:rPr>
                      <w:rFonts w:ascii="Times New Roman" w:hAnsi="Times New Roman" w:eastAsia="바탕"/>
                      <w:sz w:val="18"/>
                    </w:rPr>
                    <w:t>Kyungseo Park</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3238"/>
                </w:tcPr>
                <w:p>
                  <w:r>
                    <w:rPr>
                      <w:rFonts w:ascii="Times New Roman" w:hAnsi="Times New Roman" w:eastAsia="바탕"/>
                      <w:sz w:val="18"/>
                    </w:rPr>
                    <w:t>Heejung Seo</w:t>
                  </w:r>
                </w:p>
              </w:tc>
              <w:tc>
                <w:tcPr>
                  <w:tcW w:type="dxa" w:w="3238"/>
                </w:tcPr>
                <w:p>
                  <w:r>
                    <w:rPr>
                      <w:rFonts w:ascii="Times New Roman" w:hAnsi="Times New Roman" w:eastAsia="바탕"/>
                      <w:sz w:val="18"/>
                    </w:rPr>
                    <w:t>Dong-eui University</w:t>
                  </w:r>
                </w:p>
              </w:tc>
              <w:tc>
                <w:tcPr>
                  <w:tcW w:type="dxa" w:w="3238"/>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3238"/>
                </w:tcPr>
                <w:p>
                  <w:r>
                    <w:rPr>
                      <w:rFonts w:ascii="Times New Roman" w:hAnsi="Times New Roman" w:eastAsia="바탕"/>
                      <w:sz w:val="18"/>
                    </w:rPr>
                    <w:t>Kyunghwa Lee</w:t>
                  </w:r>
                </w:p>
              </w:tc>
              <w:tc>
                <w:tcPr>
                  <w:tcW w:type="dxa" w:w="3238"/>
                </w:tcPr>
                <w:p>
                  <w:r>
                    <w:rPr>
                      <w:rFonts w:ascii="Times New Roman" w:hAnsi="Times New Roman" w:eastAsia="바탕"/>
                      <w:sz w:val="18"/>
                    </w:rPr>
                    <w:t>Soongsil University</w:t>
                  </w:r>
                </w:p>
              </w:tc>
              <w:tc>
                <w:tcPr>
                  <w:tcW w:type="dxa" w:w="3238"/>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 plan is needed to reflect the fact that circumstances differ by country.</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They may not know what the picture means, or may interpret it wrongly.</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Myoungsoon You</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The half picture.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There could also be cases of drug therapy being stopped because unnecessary information was given to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So-Young Lee</w:t>
                  </w:r>
                </w:p>
              </w:tc>
              <w:tc>
                <w:tcPr>
                  <w:tcW w:type="dxa" w:w="3238"/>
                </w:tcPr>
                <w:p>
                  <w:r>
                    <w:rPr>
                      <w:rFonts w:ascii="Times New Roman" w:hAnsi="Times New Roman" w:eastAsia="바탕"/>
                      <w:sz w:val="18"/>
                    </w:rPr>
                    <w:t>Chungnam National University</w:t>
                  </w:r>
                </w:p>
              </w:tc>
              <w:tc>
                <w:tcPr>
                  <w:tcW w:type="dxa" w:w="3238"/>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Hwi-Yeol Yun</w:t>
                  </w:r>
                </w:p>
              </w:tc>
              <w:tc>
                <w:tcPr>
                  <w:tcW w:type="dxa" w:w="3238"/>
                </w:tcPr>
                <w:p>
                  <w:r>
                    <w:rPr>
                      <w:rFonts w:ascii="Times New Roman" w:hAnsi="Times New Roman" w:eastAsia="바탕"/>
                      <w:sz w:val="18"/>
                    </w:rPr>
                    <w:t>Chungnam National University College of Pharmacy</w:t>
                  </w:r>
                </w:p>
              </w:tc>
              <w:tc>
                <w:tcPr>
                  <w:tcW w:type="dxa" w:w="3238"/>
                </w:tcPr>
                <w:p>
                  <w:r>
                    <w:rPr>
                      <w:rFonts w:ascii="Times New Roman" w:hAnsi="Times New Roman" w:eastAsia="바탕"/>
                      <w:sz w:val="18"/>
                    </w:rPr>
                    <w:t>https://health.kr/mediCounsel/pictogram.asp — pictogram information for pharmacists worldwide can be found here.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For older people with many chronic conditions, health outcomes can change if adherence improves.</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Sung-il Cho</w:t>
                  </w:r>
                </w:p>
              </w:tc>
              <w:tc>
                <w:tcPr>
                  <w:tcW w:type="dxa" w:w="3238"/>
                </w:tcPr>
                <w:p>
                  <w:r>
                    <w:rPr>
                      <w:rFonts w:ascii="Times New Roman" w:hAnsi="Times New Roman" w:eastAsia="바탕"/>
                      <w:sz w:val="18"/>
                    </w:rPr>
                    <w:t>Seoul National University</w:t>
                  </w:r>
                </w:p>
              </w:tc>
              <w:tc>
                <w:tcPr>
                  <w:tcW w:type="dxa" w:w="3238"/>
                </w:tcPr>
                <w:p>
                  <w:r>
                    <w:rPr>
                      <w:rFonts w:ascii="Times New Roman" w:hAnsi="Times New Roman" w:eastAsia="바탕"/>
                      <w:sz w:val="18"/>
                    </w:rPr>
                    <w:t>All of 1, 2 and 3 above are possible.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Minsun Song</w:t>
                  </w:r>
                </w:p>
              </w:tc>
              <w:tc>
                <w:tcPr>
                  <w:tcW w:type="dxa" w:w="3238"/>
                </w:tcPr>
                <w:p>
                  <w:r>
                    <w:rPr>
                      <w:rFonts w:ascii="Times New Roman" w:hAnsi="Times New Roman" w:eastAsia="바탕"/>
                      <w:sz w:val="18"/>
                    </w:rPr>
                    <w:t>Konyang University</w:t>
                  </w:r>
                </w:p>
              </w:tc>
              <w:tc>
                <w:tcPr>
                  <w:tcW w:type="dxa" w:w="3238"/>
                </w:tcPr>
                <w:p>
                  <w:r>
                    <w:rPr>
                      <w:rFonts w:ascii="Times New Roman" w:hAnsi="Times New Roman" w:eastAsia="바탕"/>
                      <w:sz w:val="18"/>
                    </w:rPr>
                    <w:t>It should be built so that the patient and the carer can both understand it at the same time.</w:t>
                  </w:r>
                </w:p>
              </w:tc>
            </w:tr>
            <w:tr>
              <w:tc>
                <w:tcPr>
                  <w:tcW w:type="dxa" w:w="3238"/>
                </w:tcPr>
                <w:p>
                  <w:r>
                    <w:rPr>
                      <w:rFonts w:ascii="Times New Roman" w:hAnsi="Times New Roman" w:eastAsia="바탕"/>
                      <w:sz w:val="18"/>
                    </w:rPr>
                    <w:t>Namsoo Park</w:t>
                  </w:r>
                </w:p>
              </w:tc>
              <w:tc>
                <w:tcPr>
                  <w:tcW w:type="dxa" w:w="3238"/>
                </w:tcPr>
                <w:p>
                  <w:r>
                    <w:rPr>
                      <w:rFonts w:ascii="Times New Roman" w:hAnsi="Times New Roman" w:eastAsia="바탕"/>
                      <w:sz w:val="18"/>
                    </w:rPr>
                    <w:t>Hyupsung University</w:t>
                  </w:r>
                </w:p>
              </w:tc>
              <w:tc>
                <w:tcPr>
                  <w:tcW w:type="dxa" w:w="3238"/>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Yonghan Lee</w:t>
                  </w:r>
                </w:p>
              </w:tc>
              <w:tc>
                <w:tcPr>
                  <w:tcW w:type="dxa" w:w="3238"/>
                </w:tcPr>
                <w:p>
                  <w:r>
                    <w:rPr>
                      <w:rFonts w:ascii="Times New Roman" w:hAnsi="Times New Roman" w:eastAsia="바탕"/>
                      <w:sz w:val="18"/>
                    </w:rPr>
                    <w:t>Korea Craft and Design Foundation</w:t>
                  </w:r>
                </w:p>
              </w:tc>
              <w:tc>
                <w:tcPr>
                  <w:tcW w:type="dxa" w:w="3238"/>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3238"/>
                </w:tcPr>
                <w:p>
                  <w:r>
                    <w:rPr>
                      <w:rFonts w:ascii="Times New Roman" w:hAnsi="Times New Roman" w:eastAsia="바탕"/>
                      <w:sz w:val="18"/>
                    </w:rPr>
                    <w:t>Myojung Choi</w:t>
                  </w:r>
                </w:p>
              </w:tc>
              <w:tc>
                <w:tcPr>
                  <w:tcW w:type="dxa" w:w="3238"/>
                </w:tcPr>
                <w:p>
                  <w:r>
                    <w:rPr>
                      <w:rFonts w:ascii="Times New Roman" w:hAnsi="Times New Roman" w:eastAsia="바탕"/>
                      <w:sz w:val="18"/>
                    </w:rPr>
                    <w:t>Korea Disabled People's Development Institute</w:t>
                  </w:r>
                </w:p>
              </w:tc>
              <w:tc>
                <w:tcPr>
                  <w:tcW w:type="dxa" w:w="3238"/>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Eun-Kyoung Kim</w:t>
                  </w:r>
                </w:p>
              </w:tc>
              <w:tc>
                <w:tcPr>
                  <w:tcW w:type="dxa" w:w="3238"/>
                </w:tcPr>
                <w:p>
                  <w:r>
                    <w:rPr>
                      <w:rFonts w:ascii="Times New Roman" w:hAnsi="Times New Roman" w:eastAsia="바탕"/>
                      <w:sz w:val="18"/>
                    </w:rPr>
                    <w:t>Kongju National University</w:t>
                  </w:r>
                </w:p>
              </w:tc>
              <w:tc>
                <w:tcPr>
                  <w:tcW w:type="dxa" w:w="3238"/>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Respondent</w:t>
                  </w:r>
                </w:p>
              </w:tc>
              <w:tc>
                <w:tcPr>
                  <w:tcW w:type="dxa" w:w="3238"/>
                  <w:shd w:val="clear" w:fill="F2F2F2"/>
                </w:tcPr>
                <w:p>
                  <w:r>
                    <w:rPr>
                      <w:rFonts w:ascii="Times New Roman" w:hAnsi="Times New Roman" w:eastAsia="바탕"/>
                      <w:b/>
                      <w:sz w:val="18"/>
                    </w:rPr>
                    <w:t>Affiliation</w:t>
                  </w:r>
                </w:p>
              </w:tc>
              <w:tc>
                <w:tcPr>
                  <w:tcW w:type="dxa" w:w="3238"/>
                  <w:shd w:val="clear" w:fill="F2F2F2"/>
                </w:tcPr>
                <w:p>
                  <w:r>
                    <w:rPr>
                      <w:rFonts w:ascii="Times New Roman" w:hAnsi="Times New Roman" w:eastAsia="바탕"/>
                      <w:b/>
                      <w:sz w:val="18"/>
                    </w:rPr>
                    <w:t>Response</w:t>
                  </w:r>
                </w:p>
              </w:tc>
            </w:tr>
            <w:tr>
              <w:tc>
                <w:tcPr>
                  <w:tcW w:type="dxa" w:w="3238"/>
                </w:tcPr>
                <w:p>
                  <w:r>
                    <w:rPr>
                      <w:rFonts w:ascii="Times New Roman" w:hAnsi="Times New Roman" w:eastAsia="바탕"/>
                      <w:sz w:val="18"/>
                    </w:rPr>
                    <w:t>Cheolhyeon Park</w:t>
                  </w:r>
                </w:p>
              </w:tc>
              <w:tc>
                <w:tcPr>
                  <w:tcW w:type="dxa" w:w="3238"/>
                </w:tcPr>
                <w:p>
                  <w:r>
                    <w:rPr>
                      <w:rFonts w:ascii="Times New Roman" w:hAnsi="Times New Roman" w:eastAsia="바탕"/>
                      <w:sz w:val="18"/>
                    </w:rPr>
                    <w:t>VOICEYE</w:t>
                  </w:r>
                </w:p>
              </w:tc>
              <w:tc>
                <w:tcPr>
                  <w:tcW w:type="dxa" w:w="3238"/>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