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One thing is missing from this figure. On a real device a language with no voice available is dimmed and carries "no voice on this phone" with a mute mark. This capture was taken with a headless browser, whose voice list is empty, so those marks did not appear. Opening it on this laptop showed them on Urdu and Hausa.</w:t>
            </w:r>
          </w:p>
          <w:p>
            <w:pPr>
              <w:spacing w:before="160" w:after="60"/>
              <w:jc w:val="center"/>
            </w:pPr>
            <w:r>
              <w:drawing>
                <wp:inline xmlns:a="http://schemas.openxmlformats.org/drawingml/2006/main" xmlns:pic="http://schemas.openxmlformats.org/drawingml/2006/picture">
                  <wp:extent cx="298426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2984269" cy="4754880"/>
                          </a:xfrm>
                          <a:prstGeom prst="rect"/>
                        </pic:spPr>
                      </pic:pic>
                    </a:graphicData>
                  </a:graphic>
                </wp:inline>
              </w:drawing>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