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people who find it hard to take medicine as directed can take it and choose their food on their own: people carrying a load on executive function (attention deficit hyperactivity disorder, burnout, lack of sleep), people with damage to memory or movement (Alzheimer's disease, Parkinson's disease), people for whom reading itself is blocked (non-literacy, dyslexia), and older adults and people with low vision. Its design standard is set at the harshest of those conditions, the one in which the instruction never arrives at all because it cannot be read (739 million adults worldwide, and 18% of adults even across 31 developed countries), because a screen that holds under that condition holds under the others while the reverse does not follow.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sz w:val="20"/>
              </w:rPr>
              <w:t xml:space="preserve">Taking medicine as directed is hard for anyone. In a meta-analysis pooling 22 studies and 92,443 subjects on hypertension in low- and middle-income countries, non-adherence ranged from 25.45% to 63.35% depending on the instrument used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and in the United States the avoidable health care costs arising from medication non-adherence are estimated at $100 billion to $300 billion a year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This is not the problem of one group. From finding in the evening the supplement meant for the morning, to stopping an antibiotic on the day the symptoms fade, the same kind of failure runs through.</w:t>
            </w:r>
          </w:p>
          <w:p>
            <w:pPr>
              <w:spacing w:after="80" w:line="276" w:lineRule="auto"/>
              <w:jc w:val="both"/>
            </w:pPr>
            <w:r>
              <w:rPr>
                <w:rFonts w:ascii="Times New Roman" w:hAnsi="Times New Roman" w:eastAsia="바탕"/>
                <w:sz w:val="20"/>
              </w:rPr>
              <w:t>The mechanism of that failure is mostly not reading. Three studies this document cites later point at the same place from three different tasks. What the authors identified as the reason non-literate users slowed down on a hierarchical screen was the load of holding in mind how far down they had gone (§1.10); the one screen out of six for estimating food portions on which nobody succeeded was the screen that made people forget which dimension they had already measured (§1.10); and what older adults said about interactive voice response was that it demands attention and concentration in particular (§2.3). All three are matters of working memory and attention rather than of letters.</w:t>
            </w:r>
          </w:p>
          <w:p>
            <w:pPr>
              <w:spacing w:after="80" w:line="276" w:lineRule="auto"/>
              <w:jc w:val="both"/>
            </w:pPr>
            <w:r>
              <w:rPr>
                <w:rFonts w:ascii="Times New Roman" w:hAnsi="Times New Roman" w:eastAsia="바탕"/>
                <w:sz w:val="20"/>
              </w:rPr>
              <w:t xml:space="preserve">If that is so, the conditions under which this failure grows heavier do not narrow to reading either. States that load executive function, such as attention deficit hyperactivity disorder and burnout; states with damage to memory and movement, such as Alzheimer's disease and Parkinson's disease; states that are temporary but common, such as lack of sleep and sustained stress; and old age all sit on the same axis. To these are added the conditions that block reading itself, non-literacy and dyslexia. That 79.4% of 131 Korean adults over 65 took their medicines themselves while only 28.2% had received medication safety education gives some measure of that axis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That is the order in which this document narrows the problem. It begins with the harshest of these conditions, non-literacy, where the instruction never arrives at all (§1.1 to §1.3). A design that holds under that condition holds under the others, while the reverse does not follow. That logic is set out formally in §1.13, and the full range of the target together with where each condition blocks is laid out in a table in the same section. The design from §2 onward and the evaluation in §5 all take that harshest condition as their standard.</w:t>
            </w:r>
          </w:p>
          <w:p>
            <w:pPr>
              <w:spacing w:before="180" w:after="40"/>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same happened in Western Asia and Northern Africa. While the literacy rate rose from 82% to 84%, the number of non-literate adults rose from 59 million to 65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It is not an accident of one region but a second case of the rate and the absolute number moving apart.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 caveat attaches to the fall in the global number of non-literate adults from 754 million in 2023 to 739 million in 2024 as well. It reflects both the UN Population Division's 2024 revision of World Population Prospects and updated national literacy statistics, and the factsheet states that India's literacy rate being revised upward from 77% to 81% contributed significantly to the global reduction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Fifteen million people did not learn to read in a single year: part of the change lies in how the counting was done. The number of people this app is aimed at does not fall because a statistic was revised.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9),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One discrepancy in the numbers inside this document should be stated as well. Gutierrez et al. in Table 6 counted and tested the USP set as 82 symbols, and this section says 81. The set may have grown or shrunk over time, but we could not confirm at a primary source which figure belongs to which date. Each source's own count has therefore been left as it stands. A difference of one does not change the argument of this section or of Table 6.</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the results split by screen. On the liquids screen all ten estimated the coffee correctly but seven the water, and on the amorphous screen eight estimated the mashed potatoes and eight the spaghetti. The solid-food side divides into three. On the shapes screen two got the apple and five the pizza; on the portions screen four got the apple and five the pizza. And </w:t>
            </w:r>
            <w:r>
              <w:rPr>
                <w:rFonts w:ascii="Times New Roman" w:hAnsi="Times New Roman" w:eastAsia="바탕"/>
                <w:b/>
                <w:sz w:val="20"/>
              </w:rPr>
              <w:t>on the measurements screen not one participant succeeded in measuring all three dimensions of the steak.</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p>
            <w:pPr>
              <w:spacing w:after="80" w:line="276" w:lineRule="auto"/>
              <w:jc w:val="both"/>
            </w:pPr>
            <w:r>
              <w:rPr>
                <w:rFonts w:ascii="Times New Roman" w:hAnsi="Times New Roman" w:eastAsia="바탕"/>
                <w:sz w:val="20"/>
              </w:rPr>
              <w:t>Once the target is widened in the next section, the Korean half of this section's argument grows heavier rather than lighter. The grounds given for calling it invisible are that 18 of the 39 respondents in §5.7 said they scarcely meet such patients, and that is an answer about patients who cannot read. The conditions §1.13 adds are counted even less than those. Health literacy at least has a figure of 39.6%, whereas we found no statistic within the range of this document that counts people too worn out to take medicine on time, or people who cannot remember whether they took last night's dose. Nor does that arrive in a consulting room as a diagnosis. Saying that this problem is invisible in Korea becomes truer the further the target is widened.</w:t>
            </w:r>
          </w:p>
          <w:p>
            <w:pPr>
              <w:spacing w:before="180" w:after="40"/>
            </w:pPr>
            <w:r>
              <w:rPr>
                <w:rFonts w:ascii="Times New Roman" w:hAnsi="Times New Roman" w:eastAsia="바탕"/>
                <w:b/>
                <w:sz w:val="23"/>
              </w:rPr>
              <w:t>1.13 The range of the target and the design standard</w:t>
            </w:r>
          </w:p>
          <w:p>
            <w:pPr>
              <w:spacing w:after="80" w:line="276" w:lineRule="auto"/>
              <w:jc w:val="both"/>
            </w:pPr>
            <w:r>
              <w:rPr>
                <w:rFonts w:ascii="Times New Roman" w:hAnsi="Times New Roman" w:eastAsia="바탕"/>
                <w:sz w:val="20"/>
              </w:rPr>
              <w:t>The twelve preceding sections have been narrowing toward one condition: the condition in which the content of a prescription never arrives because it cannot be read. This section sets out why that condition is taken as the design standard, and what a design built to it actually reaches.</w:t>
            </w:r>
          </w:p>
          <w:p>
            <w:pPr>
              <w:spacing w:after="80" w:line="276" w:lineRule="auto"/>
              <w:jc w:val="both"/>
            </w:pPr>
            <w:r>
              <w:rPr>
                <w:rFonts w:ascii="Times New Roman" w:hAnsi="Times New Roman" w:eastAsia="바탕"/>
                <w:sz w:val="20"/>
              </w:rPr>
              <w:t>The reason for setting the standard at the harshest condition lies in a containment that holds in one direction only. A screen a person who cannot read can understand is also understood by a person who can read, while a screen a reader can understand is not thereby understood by someone who cannot read. There is therefore no need to build two versions aimed at two groups: one version built to the harsher condition covers both. That is why this document describes only one set of screens from §2 onward.</w:t>
            </w:r>
          </w:p>
          <w:p>
            <w:pPr>
              <w:spacing w:after="80" w:line="276" w:lineRule="auto"/>
              <w:jc w:val="both"/>
            </w:pPr>
            <w:r>
              <w:rPr>
                <w:rFonts w:ascii="Times New Roman" w:hAnsi="Times New Roman" w:eastAsia="바탕"/>
                <w:sz w:val="20"/>
              </w:rPr>
              <w:t>That containment does not hold on every axis, though. It holds on the axis of comprehensibility. How much sight a screen demands is a separate axis, so a size legible to a user with low vision does not thereby become usable for a blind user. As stated in §1.5, this app begins with a photograph, and taking that photograph remains a barrier for someone who cannot see. Tremor in the hand and the precision an action requires are separate axes in the same way. The table below therefore records, for each condition, which axis is the one that blocks.</w:t>
            </w:r>
          </w:p>
          <w:p>
            <w:pPr>
              <w:spacing w:after="80" w:line="276" w:lineRule="auto"/>
              <w:jc w:val="both"/>
            </w:pPr>
            <w:r>
              <w:rPr>
                <w:rFonts w:ascii="Times New Roman" w:hAnsi="Times New Roman" w:eastAsia="바탕"/>
                <w:sz w:val="20"/>
              </w:rPr>
              <w:t>The grounds for saying that the barrier we designed against is not peculiar to literacy lie inside studies this document already cites. In the hierarchy experiment of §1.10 the authors themselves wrote that, having had no control group of literate readers, they could not say the difficulty of hierarchy was peculiar to non-literate users, and the mechanism they pointed to was the load of holding in mind how far down one had gone. In the portion-estimation experiment in the same section, the one screen out of six on which nobody succeeded was the screen that made people forget which dimension they had already measured. In the interactive voice response study cited in §2.3, what older participants said about the interaction was that it demands attention and concentration in particular. All three point at working memory and attention, and those are resources that can be loaded independently of reading.</w:t>
            </w:r>
          </w:p>
          <w:p>
            <w:pPr>
              <w:spacing w:after="80" w:line="276" w:lineRule="auto"/>
              <w:jc w:val="both"/>
            </w:pPr>
            <w:r>
              <w:rPr>
                <w:rFonts w:ascii="Times New Roman" w:hAnsi="Times New Roman" w:eastAsia="바탕"/>
                <w:sz w:val="20"/>
              </w:rPr>
              <w:t xml:space="preserve">How medication actually breaks down in groups carrying that load has been measured as well. In a systematic review of 66 studies of children and adolescents with attention deficit hyperactivity disorder, the proportion showing good adherence at 12-month follow-up under the most commonly used definition (medication possession ratio of 80% or more) was 22.9%, and mean treatment duration over those 12 months was 170 days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In a study of 124 Parkinson's disease patients taking at least three daily doses, 36.3% reported low adherence, 29.8% medium and only 33.9% high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The latter bears on this section most directly, because the independent risk factors the authors found for non-adherence were excessive daytime sleepiness, anhedonia and forgetfulness. The diagnosis is Parkinson's disease, but what actually broke adherence was being sleepy, being without drive, and forgetting. Those three also come to anyone, diagnosis or not.</w:t>
            </w:r>
          </w:p>
          <w:p>
            <w:pPr>
              <w:spacing w:after="80" w:line="276" w:lineRule="auto"/>
              <w:jc w:val="both"/>
            </w:pPr>
            <w:r>
              <w:rPr>
                <w:rFonts w:ascii="Times New Roman" w:hAnsi="Times New Roman" w:eastAsia="바탕"/>
                <w:sz w:val="20"/>
              </w:rPr>
              <w:t>The leaps taken in carrying these two studies across should be named. The first looked at children and adolescents, whereas the users this app aims at are mostly adults. That attention deficit hyperactivity disorder can carry into adulthood and that adherence figures for children can be carried across to adults are two different statements, and we hold no evidence for the second. What is taken here is not the proportion but the fact that medication-taking does break down in this group. The second sampled only Parkinson's patients without dementia, so it cannot be carried across to people with severe memory impairment. That the risk factors the authors found fit our argument does not make their sample the same as our target.</w:t>
            </w:r>
          </w:p>
          <w:p>
            <w:pPr>
              <w:spacing w:after="80" w:line="276" w:lineRule="auto"/>
              <w:jc w:val="both"/>
            </w:pPr>
            <w:r>
              <w:rPr>
                <w:rFonts w:ascii="Times New Roman" w:hAnsi="Times New Roman" w:eastAsia="바탕"/>
                <w:sz w:val="20"/>
              </w:rPr>
              <w:t>[Table 7] Target conditions, where each is blocked, and the corresponding function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Condition</w:t>
                  </w:r>
                </w:p>
              </w:tc>
              <w:tc>
                <w:tcPr>
                  <w:tcW w:type="dxa" w:w="2441"/>
                  <w:shd w:val="clear" w:fill="F2F2F2"/>
                </w:tcPr>
                <w:p>
                  <w:r>
                    <w:rPr>
                      <w:rFonts w:ascii="Times New Roman" w:hAnsi="Times New Roman" w:eastAsia="바탕"/>
                      <w:b/>
                      <w:sz w:val="18"/>
                    </w:rPr>
                    <w:t>What blocks</w:t>
                  </w:r>
                </w:p>
              </w:tc>
              <w:tc>
                <w:tcPr>
                  <w:tcW w:type="dxa" w:w="2441"/>
                  <w:shd w:val="clear" w:fill="F2F2F2"/>
                </w:tcPr>
                <w:p>
                  <w:r>
                    <w:rPr>
                      <w:rFonts w:ascii="Times New Roman" w:hAnsi="Times New Roman" w:eastAsia="바탕"/>
                      <w:b/>
                      <w:sz w:val="18"/>
                    </w:rPr>
                    <w:t>Which part of this app reaches it</w:t>
                  </w:r>
                </w:p>
              </w:tc>
              <w:tc>
                <w:tcPr>
                  <w:tcW w:type="dxa" w:w="2441"/>
                  <w:shd w:val="clear" w:fill="F2F2F2"/>
                </w:tcPr>
                <w:p>
                  <w:r>
                    <w:rPr>
                      <w:rFonts w:ascii="Times New Roman" w:hAnsi="Times New Roman" w:eastAsia="바탕"/>
                      <w:b/>
                      <w:sz w:val="18"/>
                    </w:rPr>
                    <w:t>Grounds</w:t>
                  </w:r>
                </w:p>
              </w:tc>
            </w:tr>
            <w:tr>
              <w:tc>
                <w:tcPr>
                  <w:tcW w:type="dxa" w:w="2441"/>
                </w:tcPr>
                <w:p>
                  <w:r>
                    <w:rPr>
                      <w:rFonts w:ascii="Times New Roman" w:hAnsi="Times New Roman" w:eastAsia="바탕"/>
                      <w:b/>
                      <w:sz w:val="18"/>
                    </w:rPr>
                    <w:t>Non-literacy and low literacy</w:t>
                  </w:r>
                </w:p>
              </w:tc>
              <w:tc>
                <w:tcPr>
                  <w:tcW w:type="dxa" w:w="2441"/>
                </w:tcPr>
                <w:p>
                  <w:r>
                    <w:rPr>
                      <w:rFonts w:ascii="Times New Roman" w:hAnsi="Times New Roman" w:eastAsia="바탕"/>
                      <w:sz w:val="18"/>
                    </w:rPr>
                    <w:t>Reading itself</w:t>
                  </w:r>
                </w:p>
              </w:tc>
              <w:tc>
                <w:tcPr>
                  <w:tcW w:type="dxa" w:w="2441"/>
                </w:tcPr>
                <w:p>
                  <w:r>
                    <w:rPr>
                      <w:rFonts w:ascii="Times New Roman" w:hAnsi="Times New Roman" w:eastAsia="바탕"/>
                      <w:sz w:val="18"/>
                    </w:rPr>
                    <w:t>The whole screen, which demands no letters (§2.2), and speech (§2.3)</w:t>
                  </w:r>
                </w:p>
              </w:tc>
              <w:tc>
                <w:tcPr>
                  <w:tcW w:type="dxa" w:w="2441"/>
                </w:tcPr>
                <w:p>
                  <w:r>
                    <w:rPr>
                      <w:rFonts w:ascii="Times New Roman" w:hAnsi="Times New Roman" w:eastAsia="바탕"/>
                      <w:sz w:val="18"/>
                    </w:rPr>
                    <w:t>§1.1 to §1.3 · the design standard</w:t>
                  </w:r>
                </w:p>
              </w:tc>
            </w:tr>
            <w:tr>
              <w:tc>
                <w:tcPr>
                  <w:tcW w:type="dxa" w:w="2441"/>
                </w:tcPr>
                <w:p>
                  <w:r>
                    <w:rPr>
                      <w:rFonts w:ascii="Times New Roman" w:hAnsi="Times New Roman" w:eastAsia="바탕"/>
                      <w:b/>
                      <w:sz w:val="18"/>
                    </w:rPr>
                    <w:t>Dyslexia</w:t>
                  </w:r>
                </w:p>
              </w:tc>
              <w:tc>
                <w:tcPr>
                  <w:tcW w:type="dxa" w:w="2441"/>
                </w:tcPr>
                <w:p>
                  <w:r>
                    <w:rPr>
                      <w:rFonts w:ascii="Times New Roman" w:hAnsi="Times New Roman" w:eastAsia="바탕"/>
                      <w:sz w:val="18"/>
                    </w:rPr>
                    <w:t>The speed and accuracy of reading</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Attention deficit hyperactivity disorder</w:t>
                  </w:r>
                </w:p>
              </w:tc>
              <w:tc>
                <w:tcPr>
                  <w:tcW w:type="dxa" w:w="2441"/>
                </w:tcPr>
                <w:p>
                  <w:r>
                    <w:rPr>
                      <w:rFonts w:ascii="Times New Roman" w:hAnsi="Times New Roman" w:eastAsia="바탕"/>
                      <w:sz w:val="18"/>
                    </w:rPr>
                    <w:t>Executive function, sustained attention</w:t>
                  </w:r>
                </w:p>
              </w:tc>
              <w:tc>
                <w:tcPr>
                  <w:tcW w:type="dxa" w:w="2441"/>
                </w:tcPr>
                <w:p>
                  <w:r>
                    <w:rPr>
                      <w:rFonts w:ascii="Times New Roman" w:hAnsi="Times New Roman" w:eastAsia="바탕"/>
                      <w:sz w:val="18"/>
                    </w:rPr>
                    <w:t>A verdict finished in one screen and one colour (§3.3), the dispenser's timed prompt (§4.3)</w:t>
                  </w:r>
                </w:p>
              </w:tc>
              <w:tc>
                <w:tcPr>
                  <w:tcW w:type="dxa" w:w="2441"/>
                </w:tcPr>
                <w:p>
                  <w:r>
                    <w:rPr>
                      <w:rFonts w:ascii="Times New Roman" w:hAnsi="Times New Roman" w:eastAsia="바탕"/>
                      <w:sz w:val="18"/>
                    </w:rPr>
                    <w:t xml:space="preserve">22.9% good adherence at 12 months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Burnout, lack of sleep, sustained stress</w:t>
                  </w:r>
                </w:p>
              </w:tc>
              <w:tc>
                <w:tcPr>
                  <w:tcW w:type="dxa" w:w="2441"/>
                </w:tcPr>
                <w:p>
                  <w:r>
                    <w:rPr>
                      <w:rFonts w:ascii="Times New Roman" w:hAnsi="Times New Roman" w:eastAsia="바탕"/>
                      <w:sz w:val="18"/>
                    </w:rPr>
                    <w:t>Temporary decline in attention and drive</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 xml:space="preserve">Sleepiness and anhedonia were independent risk factors in the Parkinson's data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Alzheimer's disease and memory disorders</w:t>
                  </w:r>
                </w:p>
              </w:tc>
              <w:tc>
                <w:tcPr>
                  <w:tcW w:type="dxa" w:w="2441"/>
                </w:tcPr>
                <w:p>
                  <w:r>
                    <w:rPr>
                      <w:rFonts w:ascii="Times New Roman" w:hAnsi="Times New Roman" w:eastAsia="바탕"/>
                      <w:sz w:val="18"/>
                    </w:rPr>
                    <w:t>Memory of what has already been done</w:t>
                  </w:r>
                </w:p>
              </w:tc>
              <w:tc>
                <w:tcPr>
                  <w:tcW w:type="dxa" w:w="2441"/>
                </w:tcPr>
                <w:p>
                  <w:r>
                    <w:rPr>
                      <w:rFonts w:ascii="Times New Roman" w:hAnsi="Times New Roman" w:eastAsia="바탕"/>
                      <w:sz w:val="18"/>
                    </w:rPr>
                    <w:t>The confirming step (§3.8), and the dispenser recording whether a dose was taken</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Parkinson's disease</w:t>
                  </w:r>
                </w:p>
              </w:tc>
              <w:tc>
                <w:tcPr>
                  <w:tcW w:type="dxa" w:w="2441"/>
                </w:tcPr>
                <w:p>
                  <w:r>
                    <w:rPr>
                      <w:rFonts w:ascii="Times New Roman" w:hAnsi="Times New Roman" w:eastAsia="바탕"/>
                      <w:sz w:val="18"/>
                    </w:rPr>
                    <w:t>Memory and drive, plus complex dosing times</w:t>
                  </w:r>
                </w:p>
              </w:tc>
              <w:tc>
                <w:tcPr>
                  <w:tcW w:type="dxa" w:w="2441"/>
                </w:tcPr>
                <w:p>
                  <w:r>
                    <w:rPr>
                      <w:rFonts w:ascii="Times New Roman" w:hAnsi="Times New Roman" w:eastAsia="바탕"/>
                      <w:sz w:val="18"/>
                    </w:rPr>
                    <w:t>Time morphemes (§2.2), the dispenser (§4.3)</w:t>
                  </w:r>
                </w:p>
              </w:tc>
              <w:tc>
                <w:tcPr>
                  <w:tcW w:type="dxa" w:w="2441"/>
                </w:tcPr>
                <w:p>
                  <w:r>
                    <w:rPr>
                      <w:rFonts w:ascii="Times New Roman" w:hAnsi="Times New Roman" w:eastAsia="바탕"/>
                      <w:sz w:val="18"/>
                    </w:rPr>
                    <w:t xml:space="preserve">36.3% low adherence among those on three or more daily doses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Autism and intellectual disability</w:t>
                  </w:r>
                </w:p>
              </w:tc>
              <w:tc>
                <w:tcPr>
                  <w:tcW w:type="dxa" w:w="2441"/>
                </w:tcPr>
                <w:p>
                  <w:r>
                    <w:rPr>
                      <w:rFonts w:ascii="Times New Roman" w:hAnsi="Times New Roman" w:eastAsia="바탕"/>
                      <w:sz w:val="18"/>
                    </w:rPr>
                    <w:t>Interpretation of text and abstract symbols</w:t>
                  </w:r>
                </w:p>
              </w:tc>
              <w:tc>
                <w:tcPr>
                  <w:tcW w:type="dxa" w:w="2441"/>
                </w:tcPr>
                <w:p>
                  <w:r>
                    <w:rPr>
                      <w:rFonts w:ascii="Times New Roman" w:hAnsi="Times New Roman" w:eastAsia="바탕"/>
                      <w:sz w:val="18"/>
                    </w:rPr>
                    <w:t>Concrete pictogram forms (§2.2), the confirming step (§3.8)</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Thyroid dysfunction</w:t>
                  </w:r>
                </w:p>
              </w:tc>
              <w:tc>
                <w:tcPr>
                  <w:tcW w:type="dxa" w:w="2441"/>
                </w:tcPr>
                <w:p>
                  <w:r>
                    <w:rPr>
                      <w:rFonts w:ascii="Times New Roman" w:hAnsi="Times New Roman" w:eastAsia="바탕"/>
                      <w:sz w:val="18"/>
                    </w:rPr>
                    <w:t>The drug is not absorbed unless the timing is kept</w:t>
                  </w:r>
                </w:p>
              </w:tc>
              <w:tc>
                <w:tcPr>
                  <w:tcW w:type="dxa" w:w="2441"/>
                </w:tcPr>
                <w:p>
                  <w:r>
                    <w:rPr>
                      <w:rFonts w:ascii="Consolas" w:hAnsi="Consolas" w:eastAsia="Consolas"/>
                      <w:sz w:val="17"/>
                    </w:rPr>
                    <w:t>time_morning</w:t>
                  </w:r>
                  <w:r>
                    <w:rPr>
                      <w:rFonts w:ascii="Times New Roman" w:hAnsi="Times New Roman" w:eastAsia="바탕"/>
                      <w:sz w:val="18"/>
                    </w:rPr>
                    <w:t xml:space="preserve"> and </w:t>
                  </w:r>
                  <w:r>
                    <w:rPr>
                      <w:rFonts w:ascii="Consolas" w:hAnsi="Consolas" w:eastAsia="Consolas"/>
                      <w:sz w:val="17"/>
                    </w:rPr>
                    <w:t>food_empty_bowl</w:t>
                  </w:r>
                  <w:r>
                    <w:rPr>
                      <w:rFonts w:ascii="Times New Roman" w:hAnsi="Times New Roman" w:eastAsia="바탕"/>
                      <w:sz w:val="18"/>
                    </w:rPr>
                    <w:t xml:space="preserve"> draw "morning, empty stomach" (§2.2). The box dispenses only within a dose window (§4.3). No morpheme among the 78, however, means "keep this many hours apart from that"</w:t>
                  </w:r>
                </w:p>
              </w:tc>
              <w:tc>
                <w:tcPr>
                  <w:tcW w:type="dxa" w:w="2441"/>
                </w:tcPr>
                <w:p>
                  <w:r>
                    <w:rPr>
                      <w:rFonts w:ascii="Times New Roman" w:hAnsi="Times New Roman" w:eastAsia="바탕"/>
                      <w:sz w:val="18"/>
                    </w:rPr>
                    <w:t xml:space="preserve">107 articles and 128 studies on interfering substances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Old age</w:t>
                  </w:r>
                </w:p>
              </w:tc>
              <w:tc>
                <w:tcPr>
                  <w:tcW w:type="dxa" w:w="2441"/>
                </w:tcPr>
                <w:p>
                  <w:r>
                    <w:rPr>
                      <w:rFonts w:ascii="Times New Roman" w:hAnsi="Times New Roman" w:eastAsia="바탕"/>
                      <w:sz w:val="18"/>
                    </w:rPr>
                    <w:t>Several of the axes above overlapping</w:t>
                  </w:r>
                </w:p>
              </w:tc>
              <w:tc>
                <w:tcPr>
                  <w:tcW w:type="dxa" w:w="2441"/>
                </w:tcPr>
                <w:p>
                  <w:r>
                    <w:rPr>
                      <w:rFonts w:ascii="Times New Roman" w:hAnsi="Times New Roman" w:eastAsia="바탕"/>
                      <w:sz w:val="18"/>
                    </w:rPr>
                    <w:t>The whole</w:t>
                  </w:r>
                </w:p>
              </w:tc>
              <w:tc>
                <w:tcPr>
                  <w:tcW w:type="dxa" w:w="2441"/>
                </w:tcPr>
                <w:p>
                  <w:r>
                    <w:rPr>
                      <w:rFonts w:ascii="Times New Roman" w:hAnsi="Times New Roman" w:eastAsia="바탕"/>
                      <w:sz w:val="18"/>
                    </w:rPr>
                    <w:t>79.4% of adults over 65 self-administer, 28.2% educated (§1.2)</w:t>
                  </w:r>
                </w:p>
              </w:tc>
            </w:tr>
            <w:tr>
              <w:tc>
                <w:tcPr>
                  <w:tcW w:type="dxa" w:w="2441"/>
                </w:tcPr>
                <w:p>
                  <w:r>
                    <w:rPr>
                      <w:rFonts w:ascii="Times New Roman" w:hAnsi="Times New Roman" w:eastAsia="바탕"/>
                      <w:b/>
                      <w:sz w:val="18"/>
                    </w:rPr>
                    <w:t>Low vision</w:t>
                  </w:r>
                </w:p>
              </w:tc>
              <w:tc>
                <w:tcPr>
                  <w:tcW w:type="dxa" w:w="2441"/>
                </w:tcPr>
                <w:p>
                  <w:r>
                    <w:rPr>
                      <w:rFonts w:ascii="Times New Roman" w:hAnsi="Times New Roman" w:eastAsia="바탕"/>
                      <w:sz w:val="18"/>
                    </w:rPr>
                    <w:t>Character size and contrast</w:t>
                  </w:r>
                </w:p>
              </w:tc>
              <w:tc>
                <w:tcPr>
                  <w:tcW w:type="dxa" w:w="2441"/>
                </w:tcPr>
                <w:p>
                  <w:r>
                    <w:rPr>
                      <w:rFonts w:ascii="Times New Roman" w:hAnsi="Times New Roman" w:eastAsia="바탕"/>
                      <w:sz w:val="18"/>
                    </w:rPr>
                    <w:t>Large pictures, layers beyond colour (§3.7), speech (§3.5)</w:t>
                  </w:r>
                </w:p>
              </w:tc>
              <w:tc>
                <w:tcPr>
                  <w:tcW w:type="dxa" w:w="2441"/>
                </w:tcPr>
                <w:p>
                  <w:r>
                    <w:rPr>
                      <w:rFonts w:ascii="Times New Roman" w:hAnsi="Times New Roman" w:eastAsia="바탕"/>
                      <w:sz w:val="18"/>
                    </w:rPr>
                    <w:t>2.2 billion people with vision impairment (§1.5)</w:t>
                  </w:r>
                </w:p>
              </w:tc>
            </w:tr>
            <w:tr>
              <w:tc>
                <w:tcPr>
                  <w:tcW w:type="dxa" w:w="2441"/>
                </w:tcPr>
                <w:p>
                  <w:r>
                    <w:rPr>
                      <w:rFonts w:ascii="Times New Roman" w:hAnsi="Times New Roman" w:eastAsia="바탕"/>
                      <w:b/>
                      <w:sz w:val="18"/>
                    </w:rPr>
                    <w:t>Total blindness</w:t>
                  </w:r>
                </w:p>
              </w:tc>
              <w:tc>
                <w:tcPr>
                  <w:tcW w:type="dxa" w:w="2441"/>
                </w:tcPr>
                <w:p>
                  <w:r>
                    <w:rPr>
                      <w:rFonts w:ascii="Times New Roman" w:hAnsi="Times New Roman" w:eastAsia="바탕"/>
                      <w:sz w:val="18"/>
                    </w:rPr>
                    <w:t>The act of photographing itself</w:t>
                  </w:r>
                </w:p>
              </w:tc>
              <w:tc>
                <w:tcPr>
                  <w:tcW w:type="dxa" w:w="2441"/>
                </w:tcPr>
                <w:p>
                  <w:r>
                    <w:rPr>
                      <w:rFonts w:ascii="Times New Roman" w:hAnsi="Times New Roman" w:eastAsia="바탕"/>
                      <w:sz w:val="18"/>
                    </w:rPr>
                    <w:t>Not taken as a target</w:t>
                  </w:r>
                </w:p>
              </w:tc>
              <w:tc>
                <w:tcPr>
                  <w:tcW w:type="dxa" w:w="2441"/>
                </w:tcPr>
                <w:p>
                  <w:r>
                    <w:rPr>
                      <w:rFonts w:ascii="Times New Roman" w:hAnsi="Times New Roman" w:eastAsia="바탕"/>
                      <w:sz w:val="18"/>
                    </w:rPr>
                    <w:t>§1.5 · §5.9 unverified items</w:t>
                  </w:r>
                </w:p>
              </w:tc>
            </w:tr>
            <w:tr>
              <w:tc>
                <w:tcPr>
                  <w:tcW w:type="dxa" w:w="2441"/>
                </w:tcPr>
                <w:p>
                  <w:r>
                    <w:rPr>
                      <w:rFonts w:ascii="Times New Roman" w:hAnsi="Times New Roman" w:eastAsia="바탕"/>
                      <w:b/>
                      <w:sz w:val="18"/>
                    </w:rPr>
                    <w:t>Misuse by children</w:t>
                  </w:r>
                </w:p>
              </w:tc>
              <w:tc>
                <w:tcPr>
                  <w:tcW w:type="dxa" w:w="2441"/>
                </w:tcPr>
                <w:p>
                  <w:r>
                    <w:rPr>
                      <w:rFonts w:ascii="Times New Roman" w:hAnsi="Times New Roman" w:eastAsia="바탕"/>
                      <w:sz w:val="18"/>
                    </w:rPr>
                    <w:t>Not recognising a medicine as a medicine</w:t>
                  </w:r>
                </w:p>
              </w:tc>
              <w:tc>
                <w:tcPr>
                  <w:tcW w:type="dxa" w:w="2441"/>
                </w:tcPr>
                <w:p>
                  <w:r>
                    <w:rPr>
                      <w:rFonts w:ascii="Times New Roman" w:hAnsi="Times New Roman" w:eastAsia="바탕"/>
                      <w:sz w:val="18"/>
                    </w:rPr>
                    <w:t>The medicine stays inside the box and is dispensed only within a dose window (§4.3). A child lock as such was not built</w:t>
                  </w:r>
                </w:p>
              </w:tc>
              <w:tc>
                <w:tcPr>
                  <w:tcW w:type="dxa" w:w="2441"/>
                </w:tcPr>
                <w:p>
                  <w:r>
                    <w:rPr>
                      <w:rFonts w:ascii="Times New Roman" w:hAnsi="Times New Roman" w:eastAsia="바탕"/>
                      <w:sz w:val="18"/>
                    </w:rPr>
                    <w:t>Mechanism shared only. We did not measure it</w:t>
                  </w:r>
                </w:p>
              </w:tc>
            </w:tr>
          </w:tbl>
          <w:p/>
          <w:p>
            <w:pPr>
              <w:spacing w:after="120"/>
            </w:pPr>
          </w:p>
          <w:p>
            <w:pPr>
              <w:spacing w:after="80" w:line="276" w:lineRule="auto"/>
              <w:jc w:val="both"/>
            </w:pPr>
            <w:r>
              <w:rPr>
                <w:rFonts w:ascii="Times New Roman" w:hAnsi="Times New Roman" w:eastAsia="바탕"/>
                <w:sz w:val="20"/>
              </w:rPr>
              <w:t xml:space="preserve">Thyroid dysfunction differs in character from the other conditions in the table, so it is treated separately. For the others the problem is that the instruction does not arrive; for this one, even when the instruction arrives, the drug is not absorbed unless the timing is kept. The routine is itself a condition of the drug working. A systematic review gathering what interferes with the bioavailability of levothyroxine lists calcium and iron supplements, proton pump inhibitors, bile acid sequestrants, phosphate binders, sex hormones, anticonvulsants, and food and drink, and among the remedies the authors give is separating the times at which these are taken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The authors also record that most of the included studies were of moderate quality and that better designed studies are needed.</w:t>
            </w:r>
          </w:p>
          <w:p>
            <w:pPr>
              <w:spacing w:after="80" w:line="276" w:lineRule="auto"/>
              <w:jc w:val="both"/>
            </w:pPr>
            <w:r>
              <w:rPr>
                <w:rFonts w:ascii="Times New Roman" w:hAnsi="Times New Roman" w:eastAsia="바탕"/>
                <w:sz w:val="20"/>
              </w:rPr>
              <w:t xml:space="preserve">This condition exposes one limit of our set. With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food_empty_bowl</w:t>
            </w:r>
            <w:r>
              <w:rPr>
                <w:rFonts w:ascii="Times New Roman" w:hAnsi="Times New Roman" w:eastAsia="바탕"/>
                <w:sz w:val="20"/>
              </w:rPr>
              <w:t xml:space="preserve"> the instruction "in the morning, on an empty stomach" can be drawn, but nowhere among the 78 morphemes is there one meaning "keep this many hours apart from that". Pointing at a time and pointing at the interval between two times are different jobs, and our grammar has only the first. This is a defect we learned of by widening the target, and it belongs to stage 5 of §5.10.</w:t>
            </w:r>
          </w:p>
          <w:p>
            <w:pPr>
              <w:spacing w:after="80" w:line="276" w:lineRule="auto"/>
              <w:jc w:val="both"/>
            </w:pPr>
            <w:r>
              <w:rPr>
                <w:rFonts w:ascii="Times New Roman" w:hAnsi="Times New Roman" w:eastAsia="바탕"/>
                <w:sz w:val="20"/>
              </w:rPr>
              <w:t>The last column of that table matters most in this section. Seven conditions have data we checked at source, four have only a shared mechanism, and one is not taken as a target. A shared mechanism means the same screen may work, not that it did. We have never tested this app with a person who has attention deficit hyperactivity disorder or autism, and the expert survey in §5.7 asked about the condition taken as the design standard rather than about these conditions. That gap is recorded in §5.9 and the procedure for closing it is in §5.10.</w:t>
            </w:r>
          </w:p>
          <w:p>
            <w:pPr>
              <w:spacing w:after="80" w:line="276" w:lineRule="auto"/>
              <w:jc w:val="both"/>
            </w:pPr>
            <w:r>
              <w:rPr>
                <w:rFonts w:ascii="Times New Roman" w:hAnsi="Times New Roman" w:eastAsia="바탕"/>
                <w:sz w:val="20"/>
              </w:rPr>
              <w:t>There is a reason for carrying the table even so. Setting the design standard at the harshest condition reads easily as meaning that the app is a thing for that condition alone. The opposite is the case. It has the structure of a kerb ramp, built for wheelchairs and used by prams and hand trolleys alike. What we removed was the load of reading, and with it the load of memory and attention, so everyone carrying that load uses the same screen.</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That principle is the design standard fixed in §1.13 carried onto the screen. Because the standard sits at the harshest condition, only one set of screens is built. There is no separate set for people who can read and another for people who cannot; the latter alone covers both. That is why no accessibility mode or simplified view appears anywhere in this document. A mode switch works only for someone who knows it has to be turned on, and if that has to be read to be known, it is already too late.</w:t>
            </w:r>
          </w:p>
          <w:p>
            <w:pPr>
              <w:spacing w:after="80" w:line="276" w:lineRule="auto"/>
              <w:jc w:val="both"/>
            </w:pPr>
            <w:r>
              <w:rPr>
                <w:rFonts w:ascii="Times New Roman" w:hAnsi="Times New Roman" w:eastAsia="바탕"/>
                <w:sz w:val="20"/>
              </w:rPr>
              <w:t>The same principle carries beyond reading. What was removed to demand no letters was a demand on memory and attention as well. With the hierarchy gone there is nothing to hold in mind about how far down one has come; with the steps gone there is nothing to count about what has already been done; with the options gone there is nothing to keep hold of about what is being asked right now. Those three sentences are the grounds on which Table 7 of §1.13 claims that one screen covers eleven conditions.</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8]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9]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10]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9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11]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12]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13]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Item</w:t>
                  </w:r>
                </w:p>
              </w:tc>
              <w:tc>
                <w:tcPr>
                  <w:tcW w:type="dxa" w:w="1953"/>
                  <w:shd w:val="clear" w:fill="F2F2F2"/>
                </w:tcPr>
                <w:p>
                  <w:r>
                    <w:rPr>
                      <w:rFonts w:ascii="Times New Roman" w:hAnsi="Times New Roman" w:eastAsia="바탕"/>
                      <w:b/>
                      <w:sz w:val="18"/>
                    </w:rPr>
                    <w:t>General health app</w:t>
                  </w:r>
                </w:p>
              </w:tc>
              <w:tc>
                <w:tcPr>
                  <w:tcW w:type="dxa" w:w="1953"/>
                  <w:shd w:val="clear" w:fill="F2F2F2"/>
                </w:tcPr>
                <w:p>
                  <w:r>
                    <w:rPr>
                      <w:rFonts w:ascii="Times New Roman" w:hAnsi="Times New Roman" w:eastAsia="바탕"/>
                      <w:b/>
                      <w:sz w:val="18"/>
                    </w:rPr>
                    <w:t>Medication reminder app</w:t>
                  </w:r>
                </w:p>
              </w:tc>
              <w:tc>
                <w:tcPr>
                  <w:tcW w:type="dxa" w:w="1953"/>
                  <w:shd w:val="clear" w:fill="F2F2F2"/>
                </w:tcPr>
                <w:p>
                  <w:r>
                    <w:rPr>
                      <w:rFonts w:ascii="Times New Roman" w:hAnsi="Times New Roman" w:eastAsia="바탕"/>
                      <w:b/>
                      <w:sz w:val="18"/>
                    </w:rPr>
                    <w:t>USP pictogram standard</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Input</w:t>
                  </w:r>
                </w:p>
              </w:tc>
              <w:tc>
                <w:tcPr>
                  <w:tcW w:type="dxa" w:w="1953"/>
                </w:tcPr>
                <w:p>
                  <w:r>
                    <w:rPr>
                      <w:rFonts w:ascii="Times New Roman" w:hAnsi="Times New Roman" w:eastAsia="바탕"/>
                      <w:sz w:val="18"/>
                    </w:rPr>
                    <w:t>Typing and search</w:t>
                  </w:r>
                </w:p>
              </w:tc>
              <w:tc>
                <w:tcPr>
                  <w:tcW w:type="dxa" w:w="1953"/>
                </w:tcPr>
                <w:p>
                  <w:r>
                    <w:rPr>
                      <w:rFonts w:ascii="Times New Roman" w:hAnsi="Times New Roman" w:eastAsia="바탕"/>
                      <w:sz w:val="18"/>
                    </w:rPr>
                    <w:t>The person types in medicine name, dose and time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One photograph</w:t>
                  </w:r>
                </w:p>
              </w:tc>
            </w:tr>
            <w:tr>
              <w:tc>
                <w:tcPr>
                  <w:tcW w:type="dxa" w:w="1953"/>
                </w:tcPr>
                <w:p>
                  <w:r>
                    <w:rPr>
                      <w:rFonts w:ascii="Times New Roman" w:hAnsi="Times New Roman" w:eastAsia="바탕"/>
                      <w:sz w:val="18"/>
                    </w:rPr>
                    <w:t>Output</w:t>
                  </w:r>
                </w:p>
              </w:tc>
              <w:tc>
                <w:tcPr>
                  <w:tcW w:type="dxa" w:w="1953"/>
                </w:tcPr>
                <w:p>
                  <w:r>
                    <w:rPr>
                      <w:rFonts w:ascii="Times New Roman" w:hAnsi="Times New Roman" w:eastAsia="바탕"/>
                      <w:sz w:val="18"/>
                    </w:rPr>
                    <w:t>Mostly text</w:t>
                  </w:r>
                </w:p>
              </w:tc>
              <w:tc>
                <w:tcPr>
                  <w:tcW w:type="dxa" w:w="1953"/>
                </w:tcPr>
                <w:p>
                  <w:r>
                    <w:rPr>
                      <w:rFonts w:ascii="Times New Roman" w:hAnsi="Times New Roman" w:eastAsia="바탕"/>
                      <w:sz w:val="18"/>
                    </w:rPr>
                    <w:t>Notification text</w:t>
                  </w:r>
                </w:p>
              </w:tc>
              <w:tc>
                <w:tcPr>
                  <w:tcW w:type="dxa" w:w="1953"/>
                </w:tcPr>
                <w:p>
                  <w:r>
                    <w:rPr>
                      <w:rFonts w:ascii="Times New Roman" w:hAnsi="Times New Roman" w:eastAsia="바탕"/>
                      <w:sz w:val="18"/>
                    </w:rPr>
                    <w:t>81 static pictures</w:t>
                  </w:r>
                </w:p>
              </w:tc>
              <w:tc>
                <w:tcPr>
                  <w:tcW w:type="dxa" w:w="1953"/>
                </w:tcPr>
                <w:p>
                  <w:r>
                    <w:rPr>
                      <w:rFonts w:ascii="Times New Roman" w:hAnsi="Times New Roman" w:eastAsia="바탕"/>
                      <w:sz w:val="18"/>
                    </w:rPr>
                    <w:t>Composed pictogram + speech + colour</w:t>
                  </w:r>
                </w:p>
              </w:tc>
            </w:tr>
            <w:tr>
              <w:tc>
                <w:tcPr>
                  <w:tcW w:type="dxa" w:w="1953"/>
                </w:tcPr>
                <w:p>
                  <w:r>
                    <w:rPr>
                      <w:rFonts w:ascii="Times New Roman" w:hAnsi="Times New Roman" w:eastAsia="바탕"/>
                      <w:sz w:val="18"/>
                    </w:rPr>
                    <w:t>What it answers</w:t>
                  </w:r>
                </w:p>
              </w:tc>
              <w:tc>
                <w:tcPr>
                  <w:tcW w:type="dxa" w:w="1953"/>
                </w:tcPr>
                <w:p>
                  <w:r>
                    <w:rPr>
                      <w:rFonts w:ascii="Times New Roman" w:hAnsi="Times New Roman" w:eastAsia="바탕"/>
                      <w:sz w:val="18"/>
                    </w:rPr>
                    <w:t>Information for a search term</w:t>
                  </w:r>
                </w:p>
              </w:tc>
              <w:tc>
                <w:tcPr>
                  <w:tcW w:type="dxa" w:w="1953"/>
                </w:tcPr>
                <w:p>
                  <w:r>
                    <w:rPr>
                      <w:rFonts w:ascii="Times New Roman" w:hAnsi="Times New Roman" w:eastAsia="바탕"/>
                      <w:sz w:val="18"/>
                    </w:rPr>
                    <w:t>When</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What, how much, when, and what to avoid</w:t>
                  </w:r>
                </w:p>
              </w:tc>
            </w:tr>
            <w:tr>
              <w:tc>
                <w:tcPr>
                  <w:tcW w:type="dxa" w:w="1953"/>
                </w:tcPr>
                <w:p>
                  <w:r>
                    <w:rPr>
                      <w:rFonts w:ascii="Times New Roman" w:hAnsi="Times New Roman" w:eastAsia="바탕"/>
                      <w:sz w:val="18"/>
                    </w:rPr>
                    <w:t>Combination</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Prohibited by licence</w:t>
                  </w:r>
                </w:p>
              </w:tc>
              <w:tc>
                <w:tcPr>
                  <w:tcW w:type="dxa" w:w="1953"/>
                </w:tcPr>
                <w:p>
                  <w:r>
                    <w:rPr>
                      <w:rFonts w:ascii="Times New Roman" w:hAnsi="Times New Roman" w:eastAsia="바탕"/>
                      <w:sz w:val="18"/>
                    </w:rPr>
                    <w:t>Combined by grammar</w:t>
                  </w:r>
                </w:p>
              </w:tc>
            </w:tr>
            <w:tr>
              <w:tc>
                <w:tcPr>
                  <w:tcW w:type="dxa" w:w="1953"/>
                </w:tcPr>
                <w:p>
                  <w:r>
                    <w:rPr>
                      <w:rFonts w:ascii="Times New Roman" w:hAnsi="Times New Roman" w:eastAsia="바탕"/>
                      <w:sz w:val="18"/>
                    </w:rPr>
                    <w:t>Verdict threshold</w:t>
                  </w:r>
                </w:p>
              </w:tc>
              <w:tc>
                <w:tcPr>
                  <w:tcW w:type="dxa" w:w="1953"/>
                </w:tcPr>
                <w:p>
                  <w:r>
                    <w:rPr>
                      <w:rFonts w:ascii="Times New Roman" w:hAnsi="Times New Roman" w:eastAsia="바탕"/>
                      <w:sz w:val="18"/>
                    </w:rPr>
                    <w:t>Fixed table or 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Derived from personal energy requirement</w:t>
                  </w:r>
                </w:p>
              </w:tc>
            </w:tr>
            <w:tr>
              <w:tc>
                <w:tcPr>
                  <w:tcW w:type="dxa" w:w="1953"/>
                </w:tcPr>
                <w:p>
                  <w:r>
                    <w:rPr>
                      <w:rFonts w:ascii="Times New Roman" w:hAnsi="Times New Roman" w:eastAsia="바탕"/>
                      <w:sz w:val="18"/>
                    </w:rPr>
                    <w:t>Assumption</w:t>
                  </w:r>
                </w:p>
              </w:tc>
              <w:tc>
                <w:tcPr>
                  <w:tcW w:type="dxa" w:w="1953"/>
                </w:tcPr>
                <w:p>
                  <w:r>
                    <w:rPr>
                      <w:rFonts w:ascii="Times New Roman" w:hAnsi="Times New Roman" w:eastAsia="바탕"/>
                      <w:sz w:val="18"/>
                    </w:rPr>
                    <w:t>User knows their diagnosis</w:t>
                  </w:r>
                </w:p>
              </w:tc>
              <w:tc>
                <w:tcPr>
                  <w:tcW w:type="dxa" w:w="1953"/>
                </w:tcPr>
                <w:p>
                  <w:r>
                    <w:rPr>
                      <w:rFonts w:ascii="Times New Roman" w:hAnsi="Times New Roman" w:eastAsia="바탕"/>
                      <w:sz w:val="18"/>
                    </w:rPr>
                    <w:t>User can read a prescription and copy it across</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Neither diagnosis nor reading assumed</w:t>
                  </w:r>
                </w:p>
              </w:tc>
            </w:tr>
            <w:tr>
              <w:tc>
                <w:tcPr>
                  <w:tcW w:type="dxa" w:w="1953"/>
                </w:tcPr>
                <w:p>
                  <w:r>
                    <w:rPr>
                      <w:rFonts w:ascii="Times New Roman" w:hAnsi="Times New Roman" w:eastAsia="바탕"/>
                      <w:sz w:val="18"/>
                    </w:rPr>
                    <w:t>Adherence record</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The person taps to say so</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Also comes from a paired box's dispense log</w:t>
                  </w:r>
                </w:p>
              </w:tc>
            </w:tr>
            <w:tr>
              <w:tc>
                <w:tcPr>
                  <w:tcW w:type="dxa" w:w="1953"/>
                </w:tcPr>
                <w:p>
                  <w:r>
                    <w:rPr>
                      <w:rFonts w:ascii="Times New Roman" w:hAnsi="Times New Roman" w:eastAsia="바탕"/>
                      <w:sz w:val="18"/>
                    </w:rPr>
                    <w:t>Comprehension check</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Only post hoc studies</w:t>
                  </w:r>
                </w:p>
              </w:tc>
              <w:tc>
                <w:tcPr>
                  <w:tcW w:type="dxa" w:w="1953"/>
                </w:tcPr>
                <w:p>
                  <w:r>
                    <w:rPr>
                      <w:rFonts w:ascii="Times New Roman" w:hAnsi="Times New Roman" w:eastAsia="바탕"/>
                      <w:sz w:val="18"/>
                    </w:rPr>
                    <w:t>Measured automatically before release</w:t>
                  </w:r>
                </w:p>
              </w:tc>
            </w:tr>
            <w:tr>
              <w:tc>
                <w:tcPr>
                  <w:tcW w:type="dxa" w:w="1953"/>
                </w:tcPr>
                <w:p>
                  <w:r>
                    <w:rPr>
                      <w:rFonts w:ascii="Times New Roman" w:hAnsi="Times New Roman" w:eastAsia="바탕"/>
                      <w:sz w:val="18"/>
                    </w:rPr>
                    <w:t>Network</w:t>
                  </w:r>
                </w:p>
              </w:tc>
              <w:tc>
                <w:tcPr>
                  <w:tcW w:type="dxa" w:w="1953"/>
                </w:tcPr>
                <w:p>
                  <w:r>
                    <w:rPr>
                      <w:rFonts w:ascii="Times New Roman" w:hAnsi="Times New Roman" w:eastAsia="바탕"/>
                      <w:sz w:val="18"/>
                    </w:rPr>
                    <w:t>Required</w:t>
                  </w:r>
                </w:p>
              </w:tc>
              <w:tc>
                <w:tcPr>
                  <w:tcW w:type="dxa" w:w="1953"/>
                </w:tcPr>
                <w:p>
                  <w:r>
                    <w:rPr>
                      <w:rFonts w:ascii="Times New Roman" w:hAnsi="Times New Roman" w:eastAsia="바탕"/>
                      <w:sz w:val="18"/>
                    </w:rPr>
                    <w:t>Notification on device</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middle column was added because §1.13 widened the target. The moment one speaks of people who find it hard to take medicine as directed, what stands immediately alongside is the medication reminder app, and without setting down how this differs from that category, the proposal reads as one more reminder app.</w:t>
            </w:r>
          </w:p>
          <w:p>
            <w:pPr>
              <w:spacing w:after="80" w:line="276" w:lineRule="auto"/>
              <w:jc w:val="both"/>
            </w:pPr>
            <w:r>
              <w:rPr>
                <w:rFonts w:ascii="Times New Roman" w:hAnsi="Times New Roman" w:eastAsia="바탕"/>
                <w:sz w:val="20"/>
              </w:rPr>
              <w:t xml:space="preserve">There is work that actually counted that category. Across two app stores, 272 medication reminder apps were found and scored against seventeen desirable features: the median number of features per app was 3.0 (interquartile range 4.0), and only 18 apps had nine or more. The most common features were flexible scheduling at 56.3% (153/272), medication tracking history at 54.8% (149/272), a snooze option at 34.9% (95/272), and </w:t>
            </w:r>
            <w:r>
              <w:rPr>
                <w:rFonts w:ascii="Times New Roman" w:hAnsi="Times New Roman" w:eastAsia="바탕"/>
                <w:b/>
                <w:sz w:val="20"/>
              </w:rPr>
              <w:t>visual aids at 32.4% (88/272)</w:t>
            </w:r>
            <w:r>
              <w:rPr>
                <w:rFonts w:ascii="Times New Roman" w:hAnsi="Times New Roman" w:eastAsia="바탕"/>
                <w:sz w:val="20"/>
              </w:rPr>
              <w:t xml:space="preserve">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Two things go with those figures: it is from 2016 and from Australian app stores, so it cannot be said to describe the category today, and we found no more recent census than this.</w:t>
            </w:r>
          </w:p>
          <w:p>
            <w:pPr>
              <w:spacing w:after="80" w:line="276" w:lineRule="auto"/>
              <w:jc w:val="both"/>
            </w:pPr>
            <w:r>
              <w:rPr>
                <w:rFonts w:ascii="Times New Roman" w:hAnsi="Times New Roman" w:eastAsia="바탕"/>
                <w:sz w:val="20"/>
              </w:rPr>
              <w:t>Even so, what the middle column states is a difference in kind rather than in number of features. A reminder app works only after the user has typed in the medicine name, the dose and the time, which is to assume that a prescription can be read and copied across. The person this document has dealt with since §1.1 does not meet that assumption, and the people added in §1.13 are in conditions where that copying across is itself the burden. And what a reminder app answers is when, one thing, whereas the errors shown in Table 4 of §1.3 cluster into three: what, how much and when.</w:t>
            </w:r>
          </w:p>
          <w:p>
            <w:pPr>
              <w:spacing w:after="80" w:line="276" w:lineRule="auto"/>
              <w:jc w:val="both"/>
            </w:pPr>
            <w:r>
              <w:rPr>
                <w:rFonts w:ascii="Times New Roman" w:hAnsi="Times New Roman" w:eastAsia="바탕"/>
                <w:sz w:val="20"/>
              </w:rPr>
              <w:t>The heaviest row in the table is the fourth,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14]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Choosing text size and setting a picture key</w:t>
                  </w:r>
                </w:p>
              </w:tc>
              <w:tc>
                <w:tcPr>
                  <w:tcW w:type="dxa" w:w="2429"/>
                </w:tcPr>
                <w:p>
                  <w:r>
                    <w:rPr>
                      <w:rFonts w:ascii="Times New Roman" w:hAnsi="Times New Roman" w:eastAsia="바탕"/>
                      <w:sz w:val="18"/>
                    </w:rPr>
                    <w:t>Press the line you can read, tap four pictures in order</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14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asks two things and then goes straight to a screen that does something. It asks for a text size and it sets a picture key. The text size is settled by one action, "tap the smallest line you can read". Rather than reading the names of sizes and choosing among them, the user answers by tapping what is in fact legible, which is the structure of an eye chart.</w:t>
            </w:r>
          </w:p>
          <w:p>
            <w:pPr>
              <w:spacing w:after="80" w:line="276" w:lineRule="auto"/>
              <w:jc w:val="both"/>
            </w:pPr>
            <w:r>
              <w:rPr>
                <w:rFonts w:ascii="Times New Roman" w:hAnsi="Times New Roman" w:eastAsia="바탕"/>
                <w:sz w:val="20"/>
              </w:rPr>
              <w:t>Five guide cards used to stand between those two steps, and they were removed. Four of the five are already said by the screens themselves. The camera is the largest circle in the middle of the home screen; the verdict colour is shown as colour by the verdict screen; that it is judged for you is said by the person satellite and its badge; and reminders are offered on the spot when a prescription is photographed. To explain again what has been built so as to need no explanation is to say one does not believe in the building. And for the users of this app five slides are a wall to climb before starting, when those five slides were the first screen of an app that says it demands no reading.</w:t>
            </w:r>
          </w:p>
          <w:p>
            <w:pPr>
              <w:spacing w:after="80" w:line="276" w:lineRule="auto"/>
              <w:jc w:val="both"/>
            </w:pPr>
            <w:r>
              <w:rPr>
                <w:rFonts w:ascii="Times New Roman" w:hAnsi="Times New Roman" w:eastAsia="바탕"/>
                <w:sz w:val="20"/>
              </w:rPr>
              <w:t>The remaining one could not be removed. The gesture of pressing and holding text to hear it (§3.5) appears nowhere on screen. The read-aloud button in the bottom bar reads the whole screen, so sound itself is not blocked, but hearing one line again is only possible through that gesture, and wanting to hear one medicine name or one dose time again is exactly that case. So instead of removing it, it was moved to where it is used. It appears once on first arrival at the verdict screen and does not appear again. That is the first place the gesture is actually useful, and what has been learned can be tried on that same screen.</w:t>
            </w:r>
          </w:p>
          <w:p>
            <w:pPr>
              <w:spacing w:after="80" w:line="276" w:lineRule="auto"/>
              <w:jc w:val="both"/>
            </w:pPr>
            <w:r>
              <w:rPr>
                <w:rFonts w:ascii="Times New Roman" w:hAnsi="Times New Roman" w:eastAsia="바탕"/>
                <w:sz w:val="20"/>
              </w:rPr>
              <w:t>Measuring these two screens with the accessibility sweep of §4.4 caught one thing. The text-size screen has no point that reaches sound at all: no read-aloud button, no marker for sweeping to hear, no element wired to speech. What is on the screen is the sentence "tap the smallest line you can read" and five lines of that same sentence at different sizes. On the first screen this app offers to someone opening it for the first time, a person who cannot read has no route to sound.</w:t>
            </w:r>
          </w:p>
          <w:p>
            <w:pPr>
              <w:spacing w:after="80" w:line="276" w:lineRule="auto"/>
              <w:jc w:val="both"/>
            </w:pPr>
            <w:r>
              <w:rPr>
                <w:rFonts w:ascii="Times New Roman" w:hAnsi="Times New Roman" w:eastAsia="바탕"/>
                <w:sz w:val="20"/>
              </w:rPr>
              <w:t>Both why this is recorded as a defect and why the order was kept belong here. The principle of §2.1 is that reading is not required on the path to a judgement, and the instruction on this screen has to be read. The task on this screen, though, is shaped so that it can be answered without reading the instruction. The same sentence stands in five sizes with a pointing finger on the one currently chosen, so there is not much interpretation available other than pressing one of the pressable things. And no choice is a wrong answer: the size chosen can be changed in Settings at any time.</w:t>
            </w:r>
          </w:p>
          <w:p>
            <w:pPr>
              <w:spacing w:after="80" w:line="276" w:lineRule="auto"/>
              <w:jc w:val="both"/>
            </w:pPr>
            <w:r>
              <w:rPr>
                <w:rFonts w:ascii="Times New Roman" w:hAnsi="Times New Roman" w:eastAsia="바탕"/>
                <w:sz w:val="20"/>
              </w:rPr>
              <w:t>Even so, this is a place where we fall short of the standard we set ourselves. What Myojeong Choi, Researcher at the Korea Disabled People's Development Institute, raised in §5.7 was that without spoken guidance at the early steps the later procedure can be blocked, and removing the five guide cards emptied the place in front. Attaching read-aloud to this screen is not difficult and belongs to stage 4 of §5.10.</w:t>
            </w:r>
          </w:p>
          <w:p>
            <w:pPr>
              <w:spacing w:after="80" w:line="276" w:lineRule="auto"/>
              <w:jc w:val="both"/>
            </w:pPr>
            <w:r>
              <w:rPr>
                <w:rFonts w:ascii="Times New Roman" w:hAnsi="Times New Roman" w:eastAsia="바탕"/>
                <w:sz w:val="20"/>
              </w:rPr>
              <w:t>Age and conditions are set on the person screen. That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Text size. Rather than reading the name of a size, the user taps the line that is legible. (b) Picture key. Four of twelve pictures are tapped in order. (c)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It should be stated that our answer to this point has grown weaker since. When this response arrived, five guide cards stood in front of the dialogue and we took them as the answer, and for the reasons set out above those five cards were removed. What remains is that the camera screen falls back to choosing an already-taken photograph when permission is not granted, and that is a provision for after the blockage rather than guidance before it. It also remains true that from the moment the dialogue appears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15]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16]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17]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18]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19]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20]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20 dims but that the sentence does not read.</w:t>
            </w:r>
          </w:p>
          <w:p>
            <w:pPr>
              <w:spacing w:after="80" w:line="276" w:lineRule="auto"/>
              <w:jc w:val="both"/>
            </w:pPr>
            <w:r>
              <w:rPr>
                <w:rFonts w:ascii="Times New Roman" w:hAnsi="Times New Roman" w:eastAsia="바탕"/>
                <w:sz w:val="20"/>
              </w:rPr>
              <w:t xml:space="preserve">[Table 21]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21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Thirteen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xml:space="preserve">, </w:t>
            </w:r>
            <w:r>
              <w:rPr>
                <w:rFonts w:ascii="Consolas" w:hAnsi="Consolas" w:eastAsia="Consolas"/>
                <w:sz w:val="19"/>
              </w:rPr>
              <w:t>/history</w:t>
            </w:r>
            <w:r>
              <w:rPr>
                <w:rFonts w:ascii="Times New Roman" w:hAnsi="Times New Roman" w:eastAsia="바탕"/>
                <w:sz w:val="20"/>
              </w:rPr>
              <w:t xml:space="preserve">, </w:t>
            </w:r>
            <w:r>
              <w:rPr>
                <w:rFonts w:ascii="Consolas" w:hAnsi="Consolas" w:eastAsia="Consolas"/>
                <w:sz w:val="19"/>
              </w:rPr>
              <w:t>/text-size</w:t>
            </w:r>
            <w:r>
              <w:rPr>
                <w:rFonts w:ascii="Times New Roman" w:hAnsi="Times New Roman" w:eastAsia="바탕"/>
                <w:sz w:val="20"/>
              </w:rPr>
              <w:t xml:space="preserve">, </w:t>
            </w:r>
            <w:r>
              <w:rPr>
                <w:rFonts w:ascii="Consolas" w:hAnsi="Consolas" w:eastAsia="Consolas"/>
                <w:sz w:val="19"/>
              </w:rPr>
              <w:t>/login</w:t>
            </w:r>
            <w:r>
              <w:rPr>
                <w:rFonts w:ascii="Times New Roman" w:hAnsi="Times New Roman" w:eastAsia="바탕"/>
                <w:sz w:val="20"/>
              </w:rPr>
              <w:t xml:space="preserve">, </w:t>
            </w:r>
            <w:r>
              <w:rPr>
                <w:rFonts w:ascii="Consolas" w:hAnsi="Consolas" w:eastAsia="Consolas"/>
                <w:sz w:val="19"/>
              </w:rPr>
              <w:t>/camera</w:t>
            </w:r>
            <w:r>
              <w:rPr>
                <w:rFonts w:ascii="Times New Roman" w:hAnsi="Times New Roman" w:eastAsia="바탕"/>
                <w:sz w:val="20"/>
              </w:rPr>
              <w:t xml:space="preserve">, </w:t>
            </w:r>
            <w:r>
              <w:rPr>
                <w:rFonts w:ascii="Consolas" w:hAnsi="Consolas" w:eastAsia="Consolas"/>
                <w:sz w:val="19"/>
              </w:rPr>
              <w:t>/pair</w:t>
            </w:r>
            <w:r>
              <w:rPr>
                <w:rFonts w:ascii="Times New Roman" w:hAnsi="Times New Roman" w:eastAsia="바탕"/>
                <w:sz w:val="20"/>
              </w:rPr>
              <w:t>) were opened at 375 pixels wide and 178 controls counted. No unnamed controls, no horizontal scrolling, and one control below 24 pixels.</w:t>
            </w:r>
          </w:p>
          <w:p>
            <w:pPr>
              <w:spacing w:after="80" w:line="276" w:lineRule="auto"/>
              <w:jc w:val="both"/>
            </w:pPr>
            <w:r>
              <w:rPr>
                <w:rFonts w:ascii="Times New Roman" w:hAnsi="Times New Roman" w:eastAsia="바탕"/>
                <w:sz w:val="20"/>
              </w:rPr>
              <w:t xml:space="preserve">That the list changed once should be recorded. Nine screens were measured at first, </w:t>
            </w:r>
            <w:r>
              <w:rPr>
                <w:rFonts w:ascii="Consolas" w:hAnsi="Consolas" w:eastAsia="Consolas"/>
                <w:sz w:val="19"/>
              </w:rPr>
              <w:t>/onboarding</w:t>
            </w:r>
            <w:r>
              <w:rPr>
                <w:rFonts w:ascii="Times New Roman" w:hAnsi="Times New Roman" w:eastAsia="바탕"/>
                <w:sz w:val="20"/>
              </w:rPr>
              <w:t xml:space="preserve"> among them, and that address disappeared when the five guide cards were removed (§3.2). The sweep did not report this and was measuring a 404 page. The removed screen was taken out of the list and five screens built since were added, making thirteen.</w:t>
            </w:r>
          </w:p>
          <w:p>
            <w:pPr>
              <w:spacing w:after="80" w:line="276" w:lineRule="auto"/>
              <w:jc w:val="both"/>
            </w:pPr>
            <w:r>
              <w:rPr>
                <w:rFonts w:ascii="Times New Roman" w:hAnsi="Times New Roman" w:eastAsia="바탕"/>
                <w:sz w:val="20"/>
              </w:rPr>
              <w:t xml:space="preserve">One false positive from the sweep itself was fixed too. Two unnamed controls were reported on </w:t>
            </w:r>
            <w:r>
              <w:rPr>
                <w:rFonts w:ascii="Consolas" w:hAnsi="Consolas" w:eastAsia="Consolas"/>
                <w:sz w:val="19"/>
              </w:rPr>
              <w:t>/device</w:t>
            </w:r>
            <w:r>
              <w:rPr>
                <w:rFonts w:ascii="Times New Roman" w:hAnsi="Times New Roman" w:eastAsia="바탕"/>
                <w:sz w:val="20"/>
              </w:rPr>
              <w:t xml:space="preserve">, and both were links inside a collapsed </w:t>
            </w:r>
            <w:r>
              <w:rPr>
                <w:rFonts w:ascii="Consolas" w:hAnsi="Consolas" w:eastAsia="Consolas"/>
                <w:sz w:val="19"/>
              </w:rPr>
              <w:t>&lt;details&gt;</w:t>
            </w:r>
            <w:r>
              <w:rPr>
                <w:rFonts w:ascii="Times New Roman" w:hAnsi="Times New Roman" w:eastAsia="바탕"/>
                <w:sz w:val="20"/>
              </w:rPr>
              <w:t xml:space="preserve">. While collapsed, </w:t>
            </w:r>
            <w:r>
              <w:rPr>
                <w:rFonts w:ascii="Consolas" w:hAnsi="Consolas" w:eastAsia="Consolas"/>
                <w:sz w:val="19"/>
              </w:rPr>
              <w:t>innerText</w:t>
            </w:r>
            <w:r>
              <w:rPr>
                <w:rFonts w:ascii="Times New Roman" w:hAnsi="Times New Roman" w:eastAsia="바탕"/>
                <w:sz w:val="20"/>
              </w:rPr>
              <w:t xml:space="preserve"> is empty so they look unnamed, but they are links with text on them, and while collapsed they reach neither the screen nor assistive technology, so they were never something to measure. The sweep was changed to skip inside a collapsed </w:t>
            </w:r>
            <w:r>
              <w:rPr>
                <w:rFonts w:ascii="Consolas" w:hAnsi="Consolas" w:eastAsia="Consolas"/>
                <w:sz w:val="19"/>
              </w:rPr>
              <w:t>&lt;details&gt;</w:t>
            </w:r>
            <w:r>
              <w:rPr>
                <w:rFonts w:ascii="Times New Roman" w:hAnsi="Times New Roman" w:eastAsia="바탕"/>
                <w:sz w:val="20"/>
              </w:rPr>
              <w:t>. As has happened several times elsewhere in this document, a check whose subject is not verified manufactures a defect that is not there.</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The icons on screen are a matter for this section as well. Emoji were used at first and all of them were replaced with drawings of our own. Emoji are not drawn by us, so they look different on every device, and the same pill emoji reads as a different object on Android and on iOS. Their size and optical weight are not ours to set, and placed side by side they put a row of things drawn by different hands on one line.</w:t>
            </w:r>
          </w:p>
          <w:p>
            <w:pPr>
              <w:spacing w:after="80" w:line="276" w:lineRule="auto"/>
              <w:jc w:val="both"/>
            </w:pPr>
            <w:r>
              <w:rPr>
                <w:rFonts w:ascii="Times New Roman" w:hAnsi="Times New Roman" w:eastAsia="바탕"/>
                <w:sz w:val="20"/>
              </w:rPr>
              <w:t>What was settled in replacing them was the filled silhouette, and the grounds for that choice are the argument of this section. A filled circle of radius 29 is 2,629 pixels, while an outlined triangle in the same place is 1,127. Only that difference in mass, more than twofold, survives across a room and remains for someone who cannot tell the colours apart. The thin-line icons now common are the opposite case, because a line is the first thing to go as things get smaller. The device screen already uses the same grammar, so an app that follows it puts box and app in one language.</w:t>
            </w:r>
          </w:p>
          <w:p>
            <w:pPr>
              <w:spacing w:after="80" w:line="276" w:lineRule="auto"/>
              <w:jc w:val="both"/>
            </w:pPr>
            <w:r>
              <w:rPr>
                <w:rFonts w:ascii="Times New Roman" w:hAnsi="Times New Roman" w:eastAsia="바탕"/>
                <w:sz w:val="20"/>
              </w:rPr>
              <w:t xml:space="preserve">There are four rules for drawing. Coordinates are placed only on a 24 grid, </w:t>
            </w:r>
            <w:r>
              <w:rPr>
                <w:rFonts w:ascii="Consolas" w:hAnsi="Consolas" w:eastAsia="Consolas"/>
                <w:sz w:val="19"/>
              </w:rPr>
              <w:t>stroke</w:t>
            </w:r>
            <w:r>
              <w:rPr>
                <w:rFonts w:ascii="Times New Roman" w:hAnsi="Times New Roman" w:eastAsia="바탕"/>
                <w:sz w:val="20"/>
              </w:rPr>
              <w:t xml:space="preserve"> is not used, colour is </w:t>
            </w:r>
            <w:r>
              <w:rPr>
                <w:rFonts w:ascii="Consolas" w:hAnsi="Consolas" w:eastAsia="Consolas"/>
                <w:sz w:val="19"/>
              </w:rPr>
              <w:t>currentColor</w:t>
            </w:r>
            <w:r>
              <w:rPr>
                <w:rFonts w:ascii="Times New Roman" w:hAnsi="Times New Roman" w:eastAsia="바탕"/>
                <w:sz w:val="20"/>
              </w:rPr>
              <w:t xml:space="preserve"> alone, and holes are cut with </w:t>
            </w:r>
            <w:r>
              <w:rPr>
                <w:rFonts w:ascii="Consolas" w:hAnsi="Consolas" w:eastAsia="Consolas"/>
                <w:sz w:val="19"/>
              </w:rPr>
              <w:t>evenodd</w:t>
            </w:r>
            <w:r>
              <w:rPr>
                <w:rFonts w:ascii="Times New Roman" w:hAnsi="Times New Roman" w:eastAsia="바탕"/>
                <w:sz w:val="20"/>
              </w:rPr>
              <w:t>. The second and third join up with other decisions in this app. In an app that changes text size across five steps, wobble in line weight is actually visible, and a colour baked into each drawing leaves the drawings in daylight when the palette goes dark.</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22]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p>
            <w:pPr>
              <w:spacing w:before="180" w:after="40"/>
            </w:pPr>
            <w:r>
              <w:rPr>
                <w:rFonts w:ascii="Times New Roman" w:hAnsi="Times New Roman" w:eastAsia="바탕"/>
                <w:b/>
                <w:sz w:val="23"/>
              </w:rPr>
              <w:t>3.9 Medication routine and the last four weeks</w:t>
            </w:r>
          </w:p>
          <w:p>
            <w:pPr>
              <w:spacing w:after="80" w:line="276" w:lineRule="auto"/>
              <w:jc w:val="both"/>
            </w:pPr>
            <w:r>
              <w:rPr>
                <w:rFonts w:ascii="Times New Roman" w:hAnsi="Times New Roman" w:eastAsia="바탕"/>
                <w:sz w:val="20"/>
              </w:rPr>
              <w:t>The eight preceding sections dealt with a single verdict. Photograph, look, close. What the broadened target of §1.13 lacks, though, is not that single verdict. Unless it is recorded whether last night's dose was taken, whether weekends are the ones that get missed, and when the missing began, no verdict however good will hold a routine together.</w:t>
            </w:r>
          </w:p>
          <w:p>
            <w:pPr>
              <w:spacing w:after="80" w:line="276" w:lineRule="auto"/>
              <w:jc w:val="both"/>
            </w:pPr>
            <w:r>
              <w:rPr>
                <w:rFonts w:ascii="Times New Roman" w:hAnsi="Times New Roman" w:eastAsia="바탕"/>
                <w:sz w:val="20"/>
              </w:rPr>
              <w:t>This app leaves a record with every scan: what was eaten, what it was found to contain at the time, and, where a box has been paired, whether the medicine was taken or missed. The questions that record can answer are the ones actually asked in a consulting room. What did you eat on the day the rash appeared? When did you start missing doses? Human memory does not answer these, and less so for someone who cannot write things down. Yet the only places to look back at that record were four recent lines on the home screen and today's running total on the nutrition screen. It was data piled up and read by no one.</w:t>
            </w:r>
          </w:p>
          <w:p>
            <w:pPr>
              <w:spacing w:after="80" w:line="276" w:lineRule="auto"/>
              <w:jc w:val="both"/>
            </w:pPr>
            <w:r>
              <w:rPr>
                <w:rFonts w:ascii="Times New Roman" w:hAnsi="Times New Roman" w:eastAsia="바탕"/>
                <w:sz w:val="20"/>
              </w:rPr>
              <w:t>The screen has three parts from top to bottom.</w:t>
            </w:r>
          </w:p>
          <w:p>
            <w:pPr>
              <w:spacing w:after="80" w:line="276" w:lineRule="auto"/>
              <w:jc w:val="both"/>
            </w:pPr>
            <w:r>
              <w:rPr>
                <w:rFonts w:ascii="Times New Roman" w:hAnsi="Times New Roman" w:eastAsia="바탕"/>
                <w:sz w:val="20"/>
              </w:rPr>
              <w:t>[Table 23] The parts of the past-days screen and why each sits where it does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What is there</w:t>
                  </w:r>
                </w:p>
              </w:tc>
              <w:tc>
                <w:tcPr>
                  <w:tcW w:type="dxa" w:w="3238"/>
                  <w:shd w:val="clear" w:fill="F2F2F2"/>
                </w:tcPr>
                <w:p>
                  <w:r>
                    <w:rPr>
                      <w:rFonts w:ascii="Times New Roman" w:hAnsi="Times New Roman" w:eastAsia="바탕"/>
                      <w:b/>
                      <w:sz w:val="18"/>
                    </w:rPr>
                    <w:t>Why here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The medication routine as currently set: for each medicine, the next dose time and how many times a day</w:t>
                  </w:r>
                </w:p>
              </w:tc>
              <w:tc>
                <w:tcPr>
                  <w:tcW w:type="dxa" w:w="3238"/>
                </w:tcPr>
                <w:p>
                  <w:r>
                    <w:rPr>
                      <w:rFonts w:ascii="Times New Roman" w:hAnsi="Times New Roman" w:eastAsia="바탕"/>
                      <w:sz w:val="18"/>
                    </w:rPr>
                    <w:t>It has to come before the calendar below. Two empty cells mean a whole day skipped on a twice-daily prescription and one late dose on a five-times-daily one. Without knowing what should have happened, the same picture means different things</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A four-week calendar. One day is one cell and one bar inside a cell is one dose. A filled bar was taken, an outlined bar was missed</w:t>
                  </w:r>
                </w:p>
              </w:tc>
              <w:tc>
                <w:tcPr>
                  <w:tcW w:type="dxa" w:w="3238"/>
                </w:tcPr>
                <w:p>
                  <w:r>
                    <w:rPr>
                      <w:rFonts w:ascii="Times New Roman" w:hAnsi="Times New Roman" w:eastAsia="바탕"/>
                      <w:sz w:val="18"/>
                    </w:rPr>
                    <w:t>One week cannot be read by weekday. Each weekday appears only once, so "it is always the weekend" cannot be told apart from a single coincidence. Over four weeks the same weekday lines up four times, and only then does a vertical column mean something. Beyond that the cells get too small on a phone</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A gauge, showing as the length of a bar how much of the four weeks was filled, split into one row per medicine</w:t>
                  </w:r>
                </w:p>
              </w:tc>
              <w:tc>
                <w:tcPr>
                  <w:tcW w:type="dxa" w:w="3238"/>
                </w:tcPr>
                <w:p>
                  <w:r>
                    <w:rPr>
                      <w:rFonts w:ascii="Times New Roman" w:hAnsi="Times New Roman" w:eastAsia="바탕"/>
                      <w:sz w:val="18"/>
                    </w:rPr>
                    <w:t>The calendar and the gauge answer different questions. The calendar shows which days were missed, the gauge how much of the whole was filled. And one combined number cannot point at what to fix. If ten of eighty-three doses were missed, ten piled onto one medicine means that medicine is the problem while ten scattered across means the habit is, and the two call for different things. The questions asked in a consulting room are per medicine too</w:t>
                  </w:r>
                </w:p>
              </w:tc>
            </w:tr>
          </w:tbl>
          <w:p/>
          <w:p>
            <w:pPr>
              <w:spacing w:after="120"/>
            </w:pPr>
          </w:p>
          <w:p>
            <w:pPr>
              <w:spacing w:after="80" w:line="276" w:lineRule="auto"/>
              <w:jc w:val="both"/>
            </w:pPr>
            <w:r>
              <w:rPr>
                <w:rFonts w:ascii="Times New Roman" w:hAnsi="Times New Roman" w:eastAsia="바탕"/>
                <w:sz w:val="20"/>
              </w:rPr>
              <w:t>Medication is at the top because the urgency differs. Food can be known a day late; medicine has to be known this evening.</w:t>
            </w:r>
          </w:p>
          <w:p>
            <w:pPr>
              <w:spacing w:after="80" w:line="276" w:lineRule="auto"/>
              <w:jc w:val="both"/>
            </w:pPr>
            <w:r>
              <w:rPr>
                <w:rFonts w:ascii="Times New Roman" w:hAnsi="Times New Roman" w:eastAsia="바탕"/>
                <w:sz w:val="20"/>
              </w:rPr>
              <w:t>No percentage is written large on this screen. The number 86% does not arrive for someone who cannot read numbers, and that person is the user this app took as its standard (§1.13). So the same thing is drawn instead. Whether a cell is empty can be counted, and how far a bar has filled can be judged by eye. Neither passes through reading.</w:t>
            </w:r>
          </w:p>
          <w:p>
            <w:pPr>
              <w:spacing w:after="80" w:line="276" w:lineRule="auto"/>
              <w:jc w:val="both"/>
            </w:pPr>
            <w:r>
              <w:rPr>
                <w:rFonts w:ascii="Times New Roman" w:hAnsi="Times New Roman" w:eastAsia="바탕"/>
                <w:sz w:val="20"/>
              </w:rPr>
              <w:t>What groups the gauges is worth noting as well: not the name of a medicine but the tray layer in the box. What the box reports is the layer, and the name is something the app attaches from the prescription, so it may be absent. This machine also stacks its trays in layers, so when the screen speaks in layers that leads straight into opening the box and looking at that layer. The place on the screen and the place the hand reaches point at the same thing.</w:t>
            </w:r>
          </w:p>
          <w:p>
            <w:pPr>
              <w:spacing w:after="80" w:line="276" w:lineRule="auto"/>
              <w:jc w:val="both"/>
            </w:pPr>
            <w:r>
              <w:rPr>
                <w:rFonts w:ascii="Times New Roman" w:hAnsi="Times New Roman" w:eastAsia="바탕"/>
                <w:sz w:val="20"/>
              </w:rPr>
              <w:t>The calendar shows four weeks but the window can be moved. There are two arrows and no date picker, because offering a date picker to someone who came to look at a calendar amounts to handing them a second calendar. Moving forward stops at today. The future is an empty grid, and a button that does nothing when pressed reads as broken. Moving the window does not move the "today" marker, which stays on the real today. If some past day were marked as today on a paged-back screen, that screen would be lying.</w:t>
            </w:r>
          </w:p>
          <w:p>
            <w:pPr>
              <w:spacing w:after="80" w:line="276" w:lineRule="auto"/>
              <w:jc w:val="both"/>
            </w:pPr>
            <w:r>
              <w:rPr>
                <w:rFonts w:ascii="Times New Roman" w:hAnsi="Times New Roman" w:eastAsia="바탕"/>
                <w:sz w:val="20"/>
              </w:rPr>
              <w:t>There is no list laying out the records day by day. There was one and it was taken out. Showing records back one at a time is not what this app does with that data. The calendar, the gauge, what is suspected and how the body responded all come out of it. The list only added twenty-eight more rows on top, and after a few months it becomes a wall nobody scrolls.</w:t>
            </w:r>
          </w:p>
          <w:p>
            <w:pPr>
              <w:spacing w:after="80" w:line="276" w:lineRule="auto"/>
              <w:jc w:val="both"/>
            </w:pPr>
            <w:r>
              <w:rPr>
                <w:rFonts w:ascii="Times New Roman" w:hAnsi="Times New Roman" w:eastAsia="바탕"/>
                <w:sz w:val="20"/>
              </w:rPr>
              <w:t>This is why the screen spans several conditions in Table 7 of §1.13. What someone carrying a load on executive function needs is "what do I take now", and that is the first part. What someone with damage to memory needs is "did I already take it", and that is the second. What the consulting room needs is "when did the missing start", and that is the third. One screen answers three questions, and it was built so that those answers are not obtained by reading. The difference between a filled bar and an empty one is not a letter, and the shape of a column going blank is seen rather than read.</w:t>
            </w:r>
          </w:p>
          <w:p>
            <w:pPr>
              <w:spacing w:after="80" w:line="276" w:lineRule="auto"/>
              <w:jc w:val="both"/>
            </w:pPr>
            <w:r>
              <w:rPr>
                <w:rFonts w:ascii="Times New Roman" w:hAnsi="Times New Roman" w:eastAsia="바탕"/>
                <w:sz w:val="20"/>
              </w:rPr>
              <w:t>The screen does lean on the picture and colour layers of §2.1, with speech carried by the read-aloud button on each card. Medicine names and times do appear as text, and the principle of §2.1 holds here as elsewhere: this app did not erase text from the screen, it removed anything that can only be known by reading. What the calendar conveys is a shape rather than a name.</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The medication routine and the last four weeks. The card at the top is what is currently set; in the calendar one day is one cell and one bar inside a cell is one dose. A filled bar was taken, an outlined one missed. The bars below are the adherence rate per medicine, and the sentence at the bottom puts the same thing into words. Below the red line, scrolling is required.</w:t>
            </w:r>
          </w:p>
          <w:p>
            <w:pPr>
              <w:spacing w:after="80" w:line="276" w:lineRule="auto"/>
              <w:jc w:val="both"/>
            </w:pPr>
            <w:r>
              <w:rPr>
                <w:rFonts w:ascii="Times New Roman" w:hAnsi="Times New Roman" w:eastAsia="바탕"/>
                <w:sz w:val="20"/>
              </w:rPr>
              <w:t>The screen says one more sentence at the end: that of eighty-three doses ten were missed, and the time most often missed was seven in the evening. It was said above that a vertical column in the calendar comes to mean something, and what is read from that column the screen also sends out in words. The three layers of §2.1, where speech remains for someone who could not read the picture, appear on this screen in that form.</w:t>
            </w:r>
          </w:p>
          <w:p>
            <w:pPr>
              <w:spacing w:after="80" w:line="276" w:lineRule="auto"/>
              <w:jc w:val="both"/>
            </w:pPr>
            <w:r>
              <w:rPr>
                <w:rFonts w:ascii="Times New Roman" w:hAnsi="Times New Roman" w:eastAsia="바탕"/>
                <w:sz w:val="20"/>
              </w:rPr>
              <w:t>The limits of this screen are written by the screen itself. The bottom line says that this count comes from the pill box alone and that medicines taken without it are not in the number. A bar fills when a paired box has recorded a dispense or when the user has left a scan, so a dose taken by hand, with no box and no scan, stays recorded as missed. What this calendar measures is not taking medicine but taking medicine through this app. Were that limit written only in this document and hidden on the screen, users would read their own adherence as lower than it is. So it is written on the screen, and the same item is also among the unverified items in §5.9.</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24]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25]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26]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27]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27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27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27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28]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28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 xml:space="preserve">The list of shell paths joining the condition that catches page requests is a correction of the same kind. At first only the request's </w:t>
            </w:r>
            <w:r>
              <w:rPr>
                <w:rFonts w:ascii="Consolas" w:hAnsi="Consolas" w:eastAsia="Consolas"/>
                <w:sz w:val="19"/>
              </w:rPr>
              <w:t>mode</w:t>
            </w:r>
            <w:r>
              <w:rPr>
                <w:rFonts w:ascii="Times New Roman" w:hAnsi="Times New Roman" w:eastAsia="바탕"/>
                <w:sz w:val="20"/>
              </w:rPr>
              <w:t xml:space="preserve"> was checked for </w:t>
            </w:r>
            <w:r>
              <w:rPr>
                <w:rFonts w:ascii="Consolas" w:hAnsi="Consolas" w:eastAsia="Consolas"/>
                <w:sz w:val="19"/>
              </w:rPr>
              <w:t>navigate</w:t>
            </w:r>
            <w:r>
              <w:rPr>
                <w:rFonts w:ascii="Times New Roman" w:hAnsi="Times New Roman" w:eastAsia="바탕"/>
                <w:sz w:val="20"/>
              </w:rPr>
              <w:t xml:space="preserve">, but offline warm-up fetches page HTML with </w:t>
            </w:r>
            <w:r>
              <w:rPr>
                <w:rFonts w:ascii="Consolas" w:hAnsi="Consolas" w:eastAsia="Consolas"/>
                <w:sz w:val="19"/>
              </w:rPr>
              <w:t>fetch('/nutrition')</w:t>
            </w:r>
            <w:r>
              <w:rPr>
                <w:rFonts w:ascii="Times New Roman" w:hAnsi="Times New Roman" w:eastAsia="바탕"/>
                <w:sz w:val="20"/>
              </w:rPr>
              <w:t xml:space="preserve">, and that request's </w:t>
            </w:r>
            <w:r>
              <w:rPr>
                <w:rFonts w:ascii="Consolas" w:hAnsi="Consolas" w:eastAsia="Consolas"/>
                <w:sz w:val="19"/>
              </w:rPr>
              <w:t>mode</w:t>
            </w:r>
            <w:r>
              <w:rPr>
                <w:rFonts w:ascii="Times New Roman" w:hAnsi="Times New Roman" w:eastAsia="바탕"/>
                <w:sz w:val="20"/>
              </w:rPr>
              <w:t xml:space="preserve"> is </w:t>
            </w:r>
            <w:r>
              <w:rPr>
                <w:rFonts w:ascii="Consolas" w:hAnsi="Consolas" w:eastAsia="Consolas"/>
                <w:sz w:val="19"/>
              </w:rPr>
              <w:t>cors</w:t>
            </w:r>
            <w:r>
              <w:rPr>
                <w:rFonts w:ascii="Times New Roman" w:hAnsi="Times New Roman" w:eastAsia="바탕"/>
                <w:sz w:val="20"/>
              </w:rPr>
              <w:t xml:space="preserve"> rather than </w:t>
            </w:r>
            <w:r>
              <w:rPr>
                <w:rFonts w:ascii="Consolas" w:hAnsi="Consolas" w:eastAsia="Consolas"/>
                <w:sz w:val="19"/>
              </w:rPr>
              <w:t>navigate</w:t>
            </w:r>
            <w:r>
              <w:rPr>
                <w:rFonts w:ascii="Times New Roman" w:hAnsi="Times New Roman" w:eastAsia="바탕"/>
                <w:sz w:val="20"/>
              </w:rPr>
              <w:t xml:space="preserve">. The pages warm-up brought back were therefore stored nowhere and simply went out to the network. Because the HTML cached at install time was there it worked on the surface, so the defect would only have surfaced the moment a new page was added to the list, and that page alone would have quietly dropped out of offline use. The same line fixed </w:t>
            </w:r>
            <w:r>
              <w:rPr>
                <w:rFonts w:ascii="Consolas" w:hAnsi="Consolas" w:eastAsia="Consolas"/>
                <w:sz w:val="19"/>
              </w:rPr>
              <w:t>manifest.webmanifest</w:t>
            </w:r>
            <w:r>
              <w:rPr>
                <w:rFonts w:ascii="Times New Roman" w:hAnsi="Times New Roman" w:eastAsia="바탕"/>
                <w:sz w:val="20"/>
              </w:rPr>
              <w:t xml:space="preserve"> as well: it sat in the shell yet matched no rule, so with the file in cache the worker still went to the network and failed.</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29]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second row of the table has a correction in it as well. Ninety-day retention was written down while records were in fact being cut off at 200. Someone using the box takes in two or three dose records a day before meals are added, so 200 fills up in about forty days. For as long as the document said ninety days the actual retention was forty, and because nothing marks that a record was cut, a person looking for something from two months ago learns instead that they did not use the app that day. The cap was raised to 1,500 so that the date limit binds first. The cap was not removed, because it is a ceiling on storage rather than a floor under the retention period: a date cannot stop browser storage from filling when records run away.</w:t>
            </w: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30]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31]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pass · 0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741</w:t>
                  </w:r>
                </w:p>
              </w:tc>
              <w:tc>
                <w:tcPr>
                  <w:tcW w:type="dxa" w:w="2429"/>
                </w:tcPr>
                <w:p>
                  <w:r>
                    <w:rPr>
                      <w:rFonts w:ascii="Times New Roman" w:hAnsi="Times New Roman" w:eastAsia="바탕"/>
                      <w:sz w:val="18"/>
                    </w:rPr>
                    <w:t>653 pass · 88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4 August 2026. The previous version had a single web-app failure here, and how it was fixed is left below as it stands.</w:t>
            </w:r>
          </w:p>
          <w:p>
            <w:pPr>
              <w:spacing w:after="80" w:line="276" w:lineRule="auto"/>
              <w:jc w:val="both"/>
            </w:pPr>
            <w:r>
              <w:rPr>
                <w:rFonts w:ascii="Times New Roman" w:hAnsi="Times New Roman" w:eastAsia="바탕"/>
                <w:sz w:val="20"/>
              </w:rPr>
              <w:t xml:space="preserve">What failed was </w:t>
            </w:r>
            <w:r>
              <w:rPr>
                <w:rFonts w:ascii="Consolas" w:hAnsi="Consolas" w:eastAsia="Consolas"/>
                <w:sz w:val="19"/>
              </w:rPr>
              <w:t>pill_dispenser/webapp_kit/tests/kit.test.ts</w:t>
            </w:r>
            <w:r>
              <w:rPr>
                <w:rFonts w:ascii="Times New Roman" w:hAnsi="Times New Roman" w:eastAsia="바탕"/>
                <w:sz w:val="20"/>
              </w:rPr>
              <w:t xml:space="preserve">, and the cause lay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was set down because something heavier than one failure rode along with it. Since the file never loaded, </w:t>
            </w:r>
            <w:r>
              <w:rPr>
                <w:rFonts w:ascii="Times New Roman" w:hAnsi="Times New Roman" w:eastAsia="바탕"/>
                <w:b/>
                <w:sz w:val="20"/>
              </w:rPr>
              <w:t>not one</w:t>
            </w:r>
            <w:r>
              <w:rPr>
                <w:rFonts w:ascii="Times New Roman" w:hAnsi="Times New Roman" w:eastAsia="바탕"/>
                <w:sz w:val="20"/>
              </w:rPr>
              <w:t xml:space="preserve"> of the tests inside it ran. The total at that time did not count that file's tests, so what looked like a single failure was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This passage is kept rather than deleted because how it ended attaches here. Replacing the constructor parameter property with a declared and assigned field made the file load, and the 30 tests inside came back and all passed. We ran them to check. The 589 in the table above includes those 30. Because the failure was written down, its fix can be written down too, and this document has now met twice the case of a test that looked green while being empty, and written it down both times.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twenty-five tests quietly disappeared, because three files stop at an import of </w:t>
            </w:r>
            <w:r>
              <w:rPr>
                <w:rFonts w:ascii="Consolas" w:hAnsi="Consolas" w:eastAsia="Consolas"/>
                <w:sz w:val="19"/>
              </w:rPr>
              <w:t>zustand</w:t>
            </w:r>
            <w:r>
              <w:rPr>
                <w:rFonts w:ascii="Times New Roman" w:hAnsi="Times New Roman" w:eastAsia="바탕"/>
                <w:sz w:val="20"/>
              </w:rPr>
              <w:t>. That measurement was taken when the total was lower than it is now and has not been repeated since, so this document does not know how many disappear today. Only the fact that they disappear, and the reason, are unchanged.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32]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33]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34]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35]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36]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37]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38]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39]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40]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41]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after="80" w:line="276" w:lineRule="auto"/>
              <w:jc w:val="both"/>
            </w:pPr>
            <w:r>
              <w:rPr>
                <w:rFonts w:ascii="Times New Roman" w:hAnsi="Times New Roman" w:eastAsia="바탕"/>
                <w:sz w:val="20"/>
              </w:rPr>
              <w:t>What was asked about should be stated here as well. §1.13 sets out eleven conditions as the target of this app, and what this survey asked about is not all of them but the condition taken as the design standard, namely a person who cannot read. We did not ask how these screens would be for someone with attention deficit hyperactivity disorder or autism. One harshest condition was fixed and the questions were about that condition, and if the containment of §1.13 holds then those answers reach some way into the other conditions, but how far they reach is not something this survey measured.</w:t>
            </w:r>
          </w:p>
          <w:p>
            <w:pPr>
              <w:spacing w:after="80" w:line="276" w:lineRule="auto"/>
              <w:jc w:val="both"/>
            </w:pPr>
            <w:r>
              <w:rPr>
                <w:rFonts w:ascii="Times New Roman" w:hAnsi="Times New Roman" w:eastAsia="바탕"/>
                <w:sz w:val="20"/>
              </w:rPr>
              <w:t>The list was not drawn on that one condition alone, though. Two of the eight fields in Table 43 are AAC and special education, and adult literacy education, and among the 39 who actually responded, E. A. Draffan, retired speech and language therapist at Global Symbols; Raisa Kravchenko, Deputy Director of the All Ukrainian NGO Coalition for Persons with Intellectual Disabilities; Professor Youngmee Lee of the Department of Communication Disorders at Ewha Womans University; Professor Eunkyung Kim of special education at Kongju National University; and Myojeong Choi, Researcher, and Kyoungseo Park, Assistant Manager, of the Korea Disabled People's Development Institute all deal with intellectual disability, autism and communication disorders daily. Associate Professor Rahul Malhotra of Duke-NUS is a researcher on ageing. What they answered were questions about low-literacy users, but the people who wrote those answers already overlap with the conditions §1.13 widened to.</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42]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43]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44]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45]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46]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47]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43.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48]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21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007959"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before the survey to 589 (Table 31).</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48,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49]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3.9</w:t>
                  </w:r>
                  <w:r>
                    <w:rPr>
                      <w:rFonts w:ascii="Times New Roman" w:hAnsi="Times New Roman" w:eastAsia="바탕"/>
                      <w:sz w:val="18"/>
                    </w:rPr>
                    <w:t xml:space="preserve"> Reduce deaths and illnesses from hazardous substances</w:t>
                  </w:r>
                </w:p>
              </w:tc>
              <w:tc>
                <w:tcPr>
                  <w:tcW w:type="dxa" w:w="4857"/>
                </w:tcPr>
                <w:p>
                  <w:r>
                    <w:rPr>
                      <w:rFonts w:ascii="Times New Roman" w:hAnsi="Times New Roman" w:eastAsia="바탕"/>
                      <w:sz w:val="18"/>
                    </w:rPr>
                    <w:t>Dose and dose time are conveyed by picture, which reduces wrong amounts, and a paired box keeps the medicine inside and releases it only within a dose window. We have measured nothing against this target, however</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Only 3.9 in that table is of a different character, so it is dealt with first. Indicator 3.9.3 of that target is the mortality rate attributed to unintentional poisoning, and overdosing on medicines falls within it. There are two routes by which this app reaches that place, and both are indirect. One is that the single dose and the dose time are conveyed as pictures rather than letters, which reduces wrong amounts (§2.2). The other is that a paired box keeps the medicine inside and releases it only within a dose window (§4.3). What we did not do belongs here as well. No child lock was built, and there is no morpheme in the set meaning keep out of reach of children. And for this target there is no measured figure of the kind §5.1 produced. This row states a direction of contribution rather than a measured one.</w:t>
            </w: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47]</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10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after="80" w:line="276" w:lineRule="auto"/>
              <w:jc w:val="both"/>
            </w:pPr>
            <w:r>
              <w:rPr>
                <w:rFonts w:ascii="Times New Roman" w:hAnsi="Times New Roman" w:eastAsia="바탕"/>
                <w:sz w:val="20"/>
              </w:rPr>
              <w:t>Thirteenth, nothing was measured under the widened conditions. §1.13 sets out eleven conditions as the target of this app, and four of them rest on a shared mechanism alone: dyslexia, Alzheimer's disease and memory disorders, autism and intellectual disability, and misuse by children. We have never had a person with those conditions use this app, and the expert survey of §5.7 asked about the single condition taken as the design standard. A shared mechanism speaks to the possibility that the same screen works, not to its having worked. What makes this different in kind from the twelve items above is that it is not something we failed to measure but the scope we have newly claimed. The claim widened, so what has to be measured widened with it, and it has not been measured yet.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What stage 6 would measure belongs here as well. The direct approach is to compare medication-taking over four weeks with and without this app, and that requires a control group, a period and ethical review, so it is out of our reach. What we can do is give one task and measure whether it was carried through and how long it took: photograph one prescription and say what is to be taken today, at what time and how many, which is the same kind of measurement the studies cited in §1.10 used. What such a measurement measures is whether the screen arrived, not whether the person took the medicine, and that distinction is the same one set down at the head of §5.7.</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50]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Use testing under the widened conditions</w:t>
                  </w:r>
                </w:p>
              </w:tc>
              <w:tc>
                <w:tcPr>
                  <w:tcW w:type="dxa" w:w="3238"/>
                </w:tcPr>
                <w:p>
                  <w:r>
                    <w:rPr>
                      <w:rFonts w:ascii="Times New Roman" w:hAnsi="Times New Roman" w:eastAsia="바탕"/>
                      <w:sz w:val="18"/>
                    </w:rPr>
                    <w:t>Answers the four conditions in Table 7 of §1.13 and the thirteenth item of §5.9. The first question is whether the routine screen of §3.9 in fact works for users carrying a load on executive function</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43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2026-08-04T09:38:38Z</dcterms:modified>
</cp:coreProperties>
</file>