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six entries to the other's five, and not shortening it is this chapter's method. The last row on the right is the heaviest: that the centre of gravity of harm sits at the prescribing stage names the place this app does not intervene, and §1.4 records why we chose the patient stage even so.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