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 (남윤수)</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 (김도훈)</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adult literacy rate rose from 86% in 2015 to 88% in 2024, so on the numbers alone the situation is improving (UNESCO, 2025).</w:t>
            </w:r>
          </w:p>
          <w:p>
            <w:pPr>
              <w:spacing w:after="80" w:line="276" w:lineRule="auto"/>
              <w:jc w:val="both"/>
            </w:pPr>
            <w:r>
              <w:rPr>
                <w:rFonts w:ascii="Times New Roman" w:hAnsi="Times New Roman" w:eastAsia="바탕"/>
                <w:sz w:val="20"/>
              </w:rPr>
              <w:t>There are regions, however, where the improvement in the rate has not kept pace with population growth. In sub-Saharan Africa the literacy rate rose from 65% to 69% over the same period, yet the absolute number of non-literate adults grew from 196 million to 225 million (UNESCO, 2025). Central and Southern Asia follows with 347 million, the second largest total after sub-Saharan Africa (UNESCO, 2025). More than half of all non-literate adults, 441 million people, are concentrated in ten countries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Averages hide the size of the problem. The fifteen countries with the lowest adult literacy rates fall between 29% and 60%, and Chad stands at 28%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[Table 1] Countries with low adult literacy rates (2015–2024 census round,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[Table 2] The ten countries with the most non-literate adults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while among men in parts of Europe and North America it is 99% (UNESCO, 2025).</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(§5.9).</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and adult literacy in these countries has stagnated or declined since 2012 (UNESCO, 2025, citing PIAAC).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Based on 155 dispensing errors found by pharmacists (Anacleto et al., 2007).</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§5.8.</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et al.,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delivers not only speech but pictures that depict the action.</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In the United States the cost of medication non-adherence is estimated at 100 billion dollars a year in direct costs and as much as 300 billion including indirect costs, with roughly 125,000 deaths a year and at least 10% of hospitalisations cited as associated with non-adherence (Duke Health, "Medication Nonadherence Increases Health Costs, Hospital Readmissions").</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In 2017 the World Health Organization declared Medication Without Harm as its third Global Patient Safety Challenge, setting a goal of reducing severe avoidable medication-related harm by 50% within five years (WHO, 2017). It identified three priority areas: high-risk situations, polypharmacy and transitions of care (WHO,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The first two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Three in four adults with diabetes live in low- and middle-income countries. The figure is projected to reach 853 million (13%) by 2050, and in 2024 alone diabetes caused 3.4 million deaths, one every nine seconds (IDF,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There is one further assumption. Even someone who can read has no guarantee that the text in front of them is in their own language. Forty percent of the world's population does not have access to education in a language they understand, and most literacy surveys themselves measure in a single language (UNESCO, 2025). Prescriptions and nutrition labels are printed in a country's official language or in English, so among those counted as "able to read" in literacy statistics there are people who cannot read the paper in front of them. Pictures and speech step over both layers at once.</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[Table 5] Smartphone ownership by age group (United States,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5" name="Picture 5"/>
                  <wp:cNvGraphicFramePr>
                    <a:graphicFrameLocks noChangeAspect="1"/>
                  </wp:cNvGraphicFramePr>
                  <a:graphic>
                    <a:graphicData uri="http://schemas.openxmlformats.org/drawingml/2006/picture">
                      <pic:pic>
                        <pic:nvPicPr>
                          <pic:cNvPr id="0" name="chart04_smartphone.png"/>
                          <pic:cNvPicPr/>
                        </pic:nvPicPr>
                        <pic:blipFill>
                          <a:blip r:embed="rId1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Smartphone ownership by age group (United States,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And the share of that age group with adequate health literacy is 40.3% (Korea Disease Control and Prevention Agency,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§5.8.</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et al.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et al.,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(§5.8),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(Dowse et al., 2023: </w:t>
            </w:r>
            <w:r>
              <w:rPr>
                <w:rFonts w:ascii="Times New Roman" w:hAnsi="Times New Roman" w:eastAsia="바탕"/>
                <w:i/>
                <w:sz w:val="20"/>
              </w:rPr>
              <w:t>p</w:t>
            </w:r>
            <w:r>
              <w:rPr>
                <w:rFonts w:ascii="Times New Roman" w:hAnsi="Times New Roman" w:eastAsia="바탕"/>
                <w:sz w:val="20"/>
              </w:rPr>
              <w:t xml:space="preserve"> = 0.002), with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To summarise, this field has observed two things together. Well-made pictures do in fact reduce errors (Yin et al., 2008: 47.8% to 5.4%). And making them does not mean making them well (Gutierrez et al., 2022: 17 of 108). The first is the reason to take this approach, and the second is the reason to measure afterwards.</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comprehensibility alongside.</w:t>
            </w:r>
          </w:p>
          <w:p>
            <w:pPr>
              <w:spacing w:before="160" w:after="60"/>
              <w:jc w:val="center"/>
            </w:pPr>
            <w:r>
              <w:drawing>
                <wp:inline xmlns:a="http://schemas.openxmlformats.org/drawingml/2006/main" xmlns:pic="http://schemas.openxmlformats.org/drawingml/2006/picture">
                  <wp:extent cx="5486400" cy="3108960"/>
                  <wp:docPr id="6" name="Picture 6"/>
                  <wp:cNvGraphicFramePr>
                    <a:graphicFrameLocks noChangeAspect="1"/>
                  </wp:cNvGraphicFramePr>
                  <a:graphic>
                    <a:graphicData uri="http://schemas.openxmlformats.org/drawingml/2006/picture">
                      <pic:pic>
                        <pic:nvPicPr>
                          <pic:cNvPr id="0" name="chart05_pictogram_pass.png"/>
                          <pic:cNvPicPr/>
                        </pic:nvPicPr>
                        <pic:blipFill>
                          <a:blip r:embed="rId20"/>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The most widely used pharmaceutical pictogram standard at present is the 81-symbol set from the United States Pharmacopeia (USP). Work began in 1987 and the current set was completed in 1997, organised into three categories: mandatory (square), prohibition (circle with slash) and warning (inverted triangle) (U.S. Pharmacopeia).</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The USP licence prohibits altering the pictograms or using them together with symbols not created by USP without USP's permission (U.S. Pharmacopeia, </w:t>
            </w:r>
            <w:r>
              <w:rPr>
                <w:rFonts w:ascii="Times New Roman" w:hAnsi="Times New Roman" w:eastAsia="바탕"/>
                <w:i/>
                <w:sz w:val="20"/>
              </w:rPr>
              <w:t>USP Pictogram Library License Agreement</w:t>
            </w:r>
            <w:r>
              <w:rPr>
                <w:rFonts w:ascii="Times New Roman" w:hAnsi="Times New Roman" w:eastAsia="바탕"/>
                <w:sz w:val="20"/>
              </w:rPr>
              <w:t>). Combination will therefore remain impossible for as long as the standard is observed.</w:t>
            </w:r>
          </w:p>
          <w:p>
            <w:pPr>
              <w:spacing w:after="80" w:line="276" w:lineRule="auto"/>
              <w:jc w:val="both"/>
            </w:pPr>
            <w:r>
              <w:rPr>
                <w:rFonts w:ascii="Times New Roman" w:hAnsi="Times New Roman" w:eastAsia="바탕"/>
                <w:sz w:val="20"/>
              </w:rPr>
              <w:t>The same licence carries a further clause: do not use the pictograms as the sole means of conveying information to patients. The body that created the standard has written down that a picture alone is not enough, and this is the same judgement as the design in §2.1, where SnapCare layers picture, speech and colour. We agree with the clause and differ only in making the supporting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Where this difference actually shows is in the part that records concepts the app could not build (step 4 in §5.9).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confirmed that the barriers involve not only literacy but cognitive difficulty, cultural etiquette, prior exposure, intimidation, mediation, motivation, cost, power relations and social standing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First, scale. There are 739 million non-literate adults, and in some regions the absolute number is rising (UNESCO, 2025). Applying a health literacy criterion widens the target further. Health literacy is not sufficient for 39.6% of Korean adults and 59.7% of those aged 65 and over (Korea Disease Control and Prevention Agency, 2023).</w:t>
            </w:r>
          </w:p>
          <w:p>
            <w:pPr>
              <w:spacing w:after="80" w:line="276" w:lineRule="auto"/>
              <w:jc w:val="both"/>
            </w:pPr>
            <w:r>
              <w:rPr>
                <w:rFonts w:ascii="Times New Roman" w:hAnsi="Times New Roman" w:eastAsia="바탕"/>
                <w:sz w:val="20"/>
              </w:rPr>
              <w:t xml:space="preserve">Second, cost. Medication errors generate 42 billion dollars a year in costs (WHO,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Third, the effect and the limits of visual methods. Pictures are remembered better than text (Houts et al., 2006), yet of 108 pharmaceutical pictograms actually produced only 17 passed the ANSI criterion (Gutierrez et al.,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Fifth, an open delivery channel. Seventy-eight percent of United States adults aged 65 and over already own a smartphone (Pew Research Center,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et al., 2022), and a hierarchy is itself a barrier (Medhi et al., 2013).</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00610" cy="4754880"/>
                  <wp:docPr id="7" name="Picture 7"/>
                  <wp:cNvGraphicFramePr>
                    <a:graphicFrameLocks noChangeAspect="1"/>
                  </wp:cNvGraphicFramePr>
                  <a:graphic>
                    <a:graphicData uri="http://schemas.openxmlformats.org/drawingml/2006/picture">
                      <pic:pic>
                        <pic:nvPicPr>
                          <pic:cNvPr id="0" name="fig01_home.png"/>
                          <pic:cNvPicPr/>
                        </pic:nvPicPr>
                        <pic:blipFill>
                          <a:blip r:embed="rId21"/>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Home screen, cropped to exactly what is visible without scrolling. This is the screen actually met on opening the app. The largest element on it is a single capture button, and there is no menu and no search box. Having only one choice is the response to the hierarchy barrier established in §1.10.</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It should be noted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§5.9.</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exactly one child</w:t>
              <w:br/>
              <w:t xml:space="preserve">        if self._peek() != "{":</w:t>
              <w:br/>
              <w:t xml:space="preserve">            raise ParseError(f"\\{name} requires a child: \\{name}{{...}}")</w:t>
              <w:br/>
              <w:t xml:space="preserve">        ...</w:t>
              <w:br/>
              <w:t xml:space="preserve">        return Node(name=name, kind=NodeKind.OPERATOR, children=[child])</w:t>
              <w:br/>
              <w:br/>
              <w:t xml:space="preserve">    if self.m.is_head(name):                         # head — slots take modifiers only</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modifier — cannot stand alone</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Design intent. Each of the three branches is one clause of the grammar. A modifier outside a slot fails to parse,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8" name="Picture 8"/>
                  <wp:cNvGraphicFramePr>
                    <a:graphicFrameLocks noChangeAspect="1"/>
                  </wp:cNvGraphicFramePr>
                  <a:graphic>
                    <a:graphicData uri="http://schemas.openxmlformats.org/drawingml/2006/picture">
                      <pic:pic>
                        <pic:nvPicPr>
                          <pic:cNvPr id="0" name="fig02_sigil_sheet.png"/>
                          <pic:cNvPicPr/>
                        </pic:nvPicPr>
                        <pic:blipFill>
                          <a:blip r:embed="rId22"/>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9" name="Picture 9"/>
                  <wp:cNvGraphicFramePr>
                    <a:graphicFrameLocks noChangeAspect="1"/>
                  </wp:cNvGraphicFramePr>
                  <a:graphic>
                    <a:graphicData uri="http://schemas.openxmlformats.org/drawingml/2006/picture">
                      <pic:pic>
                        <pic:nvPicPr>
                          <pic:cNvPr id="0" name="fig03_dsl.png"/>
                          <pic:cNvPicPr/>
                        </pic:nvPicPr>
                        <pic:blipFill>
                          <a:blip r:embed="rId23"/>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It is not only the verb that changes but the body site.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10(b)). If the user cannot see where a verdict came from, there is no way for them to examine it.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As established in the previous section, about 43% of adults with diabetes do not know they have it (IDF,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9]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ate it, unwell</w:t>
              <w:br/>
              <w:t xml:space="preserve">    const b = withIt.length - a;                                     // ate it, fine</w:t>
              <w:br/>
              <w:t xml:space="preserve">    const c = without.filter((m) =&gt; m.reaction === 'unwell').length; // didn't, unwell</w:t>
              <w:br/>
              <w:t xml:space="preserve">    const d = without.length - c;                                    // didn't, fine</w:t>
              <w:br/>
              <w:br/>
              <w:t xml:space="preserve">    if (a &lt; MIN_UNWELL || withIt.length &lt; MIN_EATEN</w:t>
              <w:br/>
              <w:t xml:space="preserve">                       || without.length &lt; MIN_CONTROL) continue;     // too little evidence</w:t>
              <w:br/>
              <w:t xml:space="preserve">    if (fisherRightTail(a, b, c, d) &gt; threshold) continue;            // within chance</w:t>
              <w:br/>
              <w:t xml:space="preserve">    ...</w:t>
              <w:br/>
              <w:t xml:space="preserve">  }</w:t>
              <w:br/>
              <w:t>}</w:t>
            </w:r>
          </w:p>
          <w:p>
            <w:pPr>
              <w:spacing w:after="80" w:line="276" w:lineRule="auto"/>
              <w:jc w:val="both"/>
            </w:pPr>
            <w:r>
              <w:rPr>
                <w:rFonts w:ascii="Times New Roman" w:hAnsi="Times New Roman" w:eastAsia="바탕"/>
                <w:sz w:val="20"/>
              </w:rPr>
              <w:t xml:space="preserve">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10]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00897"/>
                  <wp:docPr id="10" name="Picture 10"/>
                  <wp:cNvGraphicFramePr>
                    <a:graphicFrameLocks noChangeAspect="1"/>
                  </wp:cNvGraphicFramePr>
                  <a:graphic>
                    <a:graphicData uri="http://schemas.openxmlformats.org/drawingml/2006/picture">
                      <pic:pic>
                        <pic:nvPicPr>
                          <pic:cNvPr id="0" name="panelA_flow.png"/>
                          <pic:cNvPicPr/>
                        </pic:nvPicPr>
                        <pic:blipFill>
                          <a:blip r:embed="rId24"/>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486400" cy="4496734"/>
                  <wp:docPr id="11" name="Picture 11"/>
                  <wp:cNvGraphicFramePr>
                    <a:graphicFrameLocks noChangeAspect="1"/>
                  </wp:cNvGraphicFramePr>
                  <a:graphic>
                    <a:graphicData uri="http://schemas.openxmlformats.org/drawingml/2006/picture">
                      <pic:pic>
                        <pic:nvPicPr>
                          <pic:cNvPr id="0" name="panelB_nutrition.png"/>
                          <pic:cNvPicPr/>
                        </pic:nvPicPr>
                        <pic:blipFill>
                          <a:blip r:embed="rId25"/>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(DS3231).</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12" name="Picture 12"/>
                  <wp:cNvGraphicFramePr>
                    <a:graphicFrameLocks noChangeAspect="1"/>
                  </wp:cNvGraphicFramePr>
                  <a:graphic>
                    <a:graphicData uri="http://schemas.openxmlformats.org/drawingml/2006/picture">
                      <pic:pic>
                        <pic:nvPicPr>
                          <pic:cNvPr id="0" name="fig10_dispenser.png"/>
                          <pic:cNvPicPr/>
                        </pic:nvPicPr>
                        <pic:blipFill>
                          <a:blip r:embed="rId26"/>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SnapCare's user flow is built on the principle of running from a single photograph to a verdict without branching. As cited in the previous section, a deep hierarchy takes non-literate users 65.5 seconds on average against 25 seconds for a flat list (Medhi et al., 2013).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13" name="Picture 13"/>
                  <wp:cNvGraphicFramePr>
                    <a:graphicFrameLocks noChangeAspect="1"/>
                  </wp:cNvGraphicFramePr>
                  <a:graphic>
                    <a:graphicData uri="http://schemas.openxmlformats.org/drawingml/2006/picture">
                      <pic:pic>
                        <pic:nvPicPr>
                          <pic:cNvPr id="0" name="fig11_userflow.png"/>
                          <pic:cNvPicPr/>
                        </pic:nvPicPr>
                        <pic:blipFill>
                          <a:blip r:embed="rId27"/>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11]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11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§5.8.</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real questions that follow, age and conditions, read with the same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31920" cy="4754880"/>
                  <wp:docPr id="14" name="Picture 14"/>
                  <wp:cNvGraphicFramePr>
                    <a:graphicFrameLocks noChangeAspect="1"/>
                  </wp:cNvGraphicFramePr>
                  <a:graphic>
                    <a:graphicData uri="http://schemas.openxmlformats.org/drawingml/2006/picture">
                      <pic:pic>
                        <pic:nvPicPr>
                          <pic:cNvPr id="0" name="panelC_onboarding.png"/>
                          <pic:cNvPicPr/>
                        </pic:nvPicPr>
                        <pic:blipFill>
                          <a:blip r:embed="rId28"/>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Nothing has to be pressed in order to learn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12]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Showing the percentage rather than hiding it is deliberate. One of the barriers identified in research on low-literate users is intimidation (Medhi, Cutrell &amp; Toyama,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13]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14]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10(b)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15]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16]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Listen marker on each line</w:t>
                  </w:r>
                </w:p>
              </w:tc>
              <w:tc>
                <w:tcPr>
                  <w:tcW w:type="dxa" w:w="3238"/>
                </w:tcPr>
                <w:p>
                  <w:r>
                    <w:rPr>
                      <w:rFonts w:ascii="Times New Roman" w:hAnsi="Times New Roman" w:eastAsia="바탕"/>
                      <w:sz w:val="18"/>
                    </w:rPr>
                    <w:t>The pressable target is the whole line, the marker only signals that audio exists there</w:t>
                  </w:r>
                </w:p>
              </w:tc>
              <w:tc>
                <w:tcPr>
                  <w:tcW w:type="dxa" w:w="3238"/>
                </w:tcPr>
                <w:p>
                  <w:r>
                    <w:rPr>
                      <w:rFonts w:ascii="Times New Roman" w:hAnsi="Times New Roman" w:eastAsia="바탕"/>
                      <w:sz w:val="18"/>
                    </w:rPr>
                    <w:t>It does not ask a trembling hand to aim at a small circle</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listen button is 44 pixels. That is roughly the area a fingertip covers on the screen, and anything smaller starts to demand aim.</w:t>
            </w:r>
          </w:p>
          <w:p>
            <w:pPr>
              <w:spacing w:before="120" w:after="20"/>
            </w:pPr>
            <w:r>
              <w:rPr>
                <w:rFonts w:ascii="Times New Roman" w:hAnsi="Times New Roman" w:eastAsia="바탕"/>
                <w:b/>
                <w:sz w:val="21"/>
              </w:rPr>
              <w:t>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17]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#15A34A</w:t>
                  </w:r>
                </w:p>
              </w:tc>
              <w:tc>
                <w:tcPr>
                  <w:tcW w:type="dxa" w:w="2429"/>
                </w:tcPr>
                <w:p>
                  <w:r>
                    <w:rPr>
                      <w:rFonts w:ascii="Times New Roman" w:hAnsi="Times New Roman" w:eastAsia="바탕"/>
                      <w:sz w:val="18"/>
                    </w:rPr>
                    <w:t xml:space="preserve">Amber </w:t>
                  </w:r>
                  <w:r>
                    <w:rPr>
                      <w:rFonts w:ascii="Consolas" w:hAnsi="Consolas" w:eastAsia="Consolas"/>
                      <w:sz w:val="17"/>
                    </w:rPr>
                    <w:t>#DE8500</w:t>
                  </w:r>
                </w:p>
              </w:tc>
              <w:tc>
                <w:tcPr>
                  <w:tcW w:type="dxa" w:w="2429"/>
                </w:tcPr>
                <w:p>
                  <w:r>
                    <w:rPr>
                      <w:rFonts w:ascii="Times New Roman" w:hAnsi="Times New Roman" w:eastAsia="바탕"/>
                      <w:sz w:val="18"/>
                    </w:rPr>
                    <w:t xml:space="preserve">Red </w:t>
                  </w:r>
                  <w:r>
                    <w:rPr>
                      <w:rFonts w:ascii="Consolas" w:hAnsi="Consolas" w:eastAsia="Consolas"/>
                      <w:sz w:val="17"/>
                    </w:rPr>
                    <w:t>#DC2626</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18]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DS3231</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19]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five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20]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21]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21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Adding a relay path</w:t>
            </w:r>
          </w:p>
          <w:p>
            <w:pPr>
              <w:spacing w:after="80" w:line="276" w:lineRule="auto"/>
              <w:jc w:val="both"/>
            </w:pPr>
            <w:r>
              <w:rPr>
                <w:rFonts w:ascii="Times New Roman" w:hAnsi="Times New Roman" w:eastAsia="바탕"/>
                <w:sz w:val="20"/>
              </w:rPr>
              <w:t>The reason for excluding the cloud broker in the third row of Table 21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DS3231. Whether the relay is down, unreachable or never configured at all, nobody's dose is missed. The judgement in Table 21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problems.append(f"{name}: two boxes filled ... erase one and retake")</w:t>
              <w:br/>
              <w:br/>
              <w:t xml:space="preserve">    elif best[1] - second[1] &lt; margin:         # ③ does not separate</w:t>
              <w:br/>
              <w:t xml:space="preserve">        values[name] = None</w:t>
              <w:br/>
              <w:t xml:space="preserve">        problems.append(f"{name}: ambiguous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22]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22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15" name="Picture 15"/>
                  <wp:cNvGraphicFramePr>
                    <a:graphicFrameLocks noChangeAspect="1"/>
                  </wp:cNvGraphicFramePr>
                  <a:graphic>
                    <a:graphicData uri="http://schemas.openxmlformats.org/drawingml/2006/picture">
                      <pic:pic>
                        <pic:nvPicPr>
                          <pic:cNvPr id="0" name="fig14_formsheet.png"/>
                          <pic:cNvPicPr/>
                        </pic:nvPicPr>
                        <pic:blipFill>
                          <a:blip r:embed="rId29"/>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w:t>
            </w:r>
          </w:p>
          <w:p>
            <w:pPr>
              <w:spacing w:after="160"/>
            </w:pPr>
            <w:r>
              <w:rPr>
                <w:rFonts w:ascii="Consolas" w:hAnsi="Consolas" w:eastAsia="Consolas"/>
                <w:sz w:val="18"/>
              </w:rPr>
              <w:t>self.addEventListener('fetch', (event) =&gt; {</w:t>
              <w:br/>
              <w:t xml:space="preserve">  const url = new URL(event.request.url);</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(event.request.mode === 'navigate') {</w:t>
              <w:br/>
              <w:t xml:space="preserve">    event.respondWith(networkFirst(event.request));   // navigation: latest first</w:t>
              <w:br/>
              <w:t xml:space="preserve">    return;</w:t>
              <w:br/>
              <w:t xml:space="preserve">  }</w:t>
              <w:br/>
              <w:br/>
              <w:t xml:space="preserve">  if (url.pathname.startsWith('/_next/static/') ||</w:t>
              <w:br/>
              <w:t xml:space="preserve">      url.pathname.startsWith('/pictograms/') ||</w:t>
              <w:br/>
              <w:t xml:space="preserve">      url.pathname.startsWith('/models/') ||          // 16 MB nutrition model</w:t>
              <w:br/>
              <w:t xml:space="preserve">      url.pathname.startsWith('/ocr/')) {             // OCR worker, core, language data</w:t>
              <w:br/>
              <w:t xml:space="preserve">    event.respondWith(cacheFirst(event.request));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23]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24] Composition of the repository (as of 29 July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25]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Kind</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What it needs</w:t>
                  </w:r>
                </w:p>
              </w:tc>
            </w:tr>
            <w:tr>
              <w:tc>
                <w:tcPr>
                  <w:tcW w:type="dxa" w:w="3238"/>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only</w:t>
                  </w:r>
                </w:p>
              </w:tc>
            </w:tr>
            <w:tr>
              <w:tc>
                <w:tcPr>
                  <w:tcW w:type="dxa" w:w="3238"/>
                </w:tcPr>
                <w:p>
                  <w:r>
                    <w:rPr>
                      <w:rFonts w:ascii="Times New Roman" w:hAnsi="Times New Roman" w:eastAsia="바탕"/>
                      <w:sz w:val="18"/>
                    </w:rPr>
                    <w:t>Paper form and scheduling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Firmware protocol and scheduler</w:t>
                  </w:r>
                </w:p>
              </w:tc>
              <w:tc>
                <w:tcPr>
                  <w:tcW w:type="dxa" w:w="3238"/>
                </w:tcPr>
                <w:p>
                  <w:r>
                    <w:rPr>
                      <w:rFonts w:ascii="Times New Roman" w:hAnsi="Times New Roman" w:eastAsia="바탕"/>
                      <w:sz w:val="18"/>
                    </w:rPr>
                    <w:t>Host build</w:t>
                  </w:r>
                </w:p>
              </w:tc>
              <w:tc>
                <w:tcPr>
                  <w:tcW w:type="dxa" w:w="3238"/>
                </w:tcPr>
                <w:p>
                  <w:r>
                    <w:rPr>
                      <w:rFonts w:ascii="Times New Roman" w:hAnsi="Times New Roman" w:eastAsia="바탕"/>
                      <w:sz w:val="18"/>
                    </w:rPr>
                    <w:t>A C++ compiler only</w:t>
                  </w:r>
                </w:p>
              </w:tc>
            </w:tr>
          </w:tbl>
          <w:p/>
          <w:p>
            <w:pPr>
              <w:spacing w:after="120"/>
            </w:pP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11,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11 days 194 commits accumulated.</w:t>
            </w:r>
          </w:p>
          <w:p>
            <w:pPr>
              <w:spacing w:after="80" w:line="276" w:lineRule="auto"/>
              <w:jc w:val="both"/>
            </w:pPr>
            <w:r>
              <w:rPr>
                <w:rFonts w:ascii="Times New Roman" w:hAnsi="Times New Roman" w:eastAsia="바탕"/>
                <w:sz w:val="20"/>
              </w:rPr>
              <w:t>There is a condition attached here as well. This project used AI coding tools throughout development, and we do not hide it. Nowhere was what a tool produced left as it stood. The defects recorded in this document, such as 12 of 37 citations differing from their sources (§5.8) or the morpheme checker passing four rings as "four" (§5.2), were all found by a person checking again.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26]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27]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16" name="Picture 16"/>
                  <wp:cNvGraphicFramePr>
                    <a:graphicFrameLocks noChangeAspect="1"/>
                  </wp:cNvGraphicFramePr>
                  <a:graphic>
                    <a:graphicData uri="http://schemas.openxmlformats.org/drawingml/2006/picture">
                      <pic:pic>
                        <pic:nvPicPr>
                          <pic:cNvPr id="0" name="chart06_formative.png"/>
                          <pic:cNvPicPr/>
                        </pic:nvPicPr>
                        <pic:blipFill>
                          <a:blip r:embed="rId3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As established in §1.8, making a pictogram does not mean it will be read. Of 108 international standard pictograms, only 17 passed the ANSI 85% criterion (Gutierrez et al.,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28]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The checker already knows why something failed. Counting attempts without using that reason is the same as rolling the same die again, and each roll costs money. Instructions were therefore hooked to the reason.</w:t>
            </w:r>
          </w:p>
          <w:p>
            <w:pPr>
              <w:spacing w:after="160"/>
            </w:pPr>
            <w:r>
              <w:rPr>
                <w:rFonts w:ascii="Consolas" w:hAnsi="Consolas" w:eastAsia="Consolas"/>
                <w:sz w:val="18"/>
              </w:rPr>
              <w:t>def escalate(c: 'Check | None') -&gt; str:</w:t>
              <w:br/>
              <w:t xml:space="preserve">    """Retry **according to the reason** for the previous failure."""</w:t>
              <w:br/>
              <w:t xml:space="preserve">    r = ' · '.join(c.reasons)</w:t>
              <w:br/>
              <w:br/>
              <w:t xml:space="preserve">    if 'clotted'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'too thin' in r:</w:t>
              <w:br/>
              <w:t xml:space="preserve">        return (' The shape came out too thin and sparse. Make every black part much thicker and '</w:t>
              <w:br/>
              <w:t xml:space="preserve">                'heavier, and let it fill more of the frame.')</w:t>
              <w:br/>
              <w:t xml:space="preserve">    if 'count' in r:</w:t>
              <w:br/>
              <w:t xml:space="preserve">        return (' The number of separate shapes was wrong. Draw exactly the number stated, each '</w:t>
              <w:br/>
              <w:t xml:space="preserve">                'one fully detached from the others with wide white space between them.')</w:t>
              <w:br/>
              <w:t xml:space="preserve">    if 'misread'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Design intent. The four branches push in four different directions.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29]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17" name="Picture 17"/>
                  <wp:cNvGraphicFramePr>
                    <a:graphicFrameLocks noChangeAspect="1"/>
                  </wp:cNvGraphicFramePr>
                  <a:graphic>
                    <a:graphicData uri="http://schemas.openxmlformats.org/drawingml/2006/picture">
                      <pic:pic>
                        <pic:nvPicPr>
                          <pic:cNvPr id="0" name="chart07_glyph_check.png"/>
                          <pic:cNvPicPr/>
                        </pic:nvPicPr>
                        <pic:blipFill>
                          <a:blip r:embed="rId3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30]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31]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32]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18" name="Picture 18"/>
                  <wp:cNvGraphicFramePr>
                    <a:graphicFrameLocks noChangeAspect="1"/>
                  </wp:cNvGraphicFramePr>
                  <a:graphic>
                    <a:graphicData uri="http://schemas.openxmlformats.org/drawingml/2006/picture">
                      <pic:pic>
                        <pic:nvPicPr>
                          <pic:cNvPr id="0" name="chart08_model_mae.png"/>
                          <pic:cNvPicPr/>
                        </pic:nvPicPr>
                        <pic:blipFill>
                          <a:blip r:embed="rId3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33]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34]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(§5.8).</w:t>
            </w:r>
          </w:p>
          <w:p>
            <w:pPr>
              <w:spacing w:before="180" w:after="40"/>
            </w:pPr>
            <w:r>
              <w:rPr>
                <w:rFonts w:ascii="Times New Roman" w:hAnsi="Times New Roman" w:eastAsia="바탕"/>
                <w:b/>
                <w:sz w:val="23"/>
              </w:rPr>
              <w:t>5.7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35]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(WHO GLASS, 2025). In 2019, deaths directly attributable to bacterial resistance numbered 1.27 million, more than HIV/AIDS or malaria (Murray et al.,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5.8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Second, cultural adaptation has not been verified. In the controlled comparison showing two sets to the same 46 people, 20 of 23 locally made pictograms passed the ANSI criterion while USP-DI managed 11 of 23 (Dowse &amp; Ehlers,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before="180" w:after="40"/>
            </w:pPr>
            <w:r>
              <w:rPr>
                <w:rFonts w:ascii="Times New Roman" w:hAnsi="Times New Roman" w:eastAsia="바탕"/>
                <w:b/>
                <w:sz w:val="23"/>
              </w:rPr>
              <w:t>5.9 Future plans</w:t>
            </w:r>
          </w:p>
          <w:p>
            <w:pPr>
              <w:spacing w:after="80" w:line="276" w:lineRule="auto"/>
              <w:jc w:val="both"/>
            </w:pPr>
            <w:r>
              <w:rPr>
                <w:rFonts w:ascii="Times New Roman" w:hAnsi="Times New Roman" w:eastAsia="바탕"/>
                <w:sz w:val="20"/>
              </w:rPr>
              <w:t>[Table 36]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Write service documentation and request expert review</w:t>
                  </w:r>
                </w:p>
              </w:tc>
              <w:tc>
                <w:tcPr>
                  <w:tcW w:type="dxa" w:w="3238"/>
                </w:tcPr>
                <w:p>
                  <w:r>
                    <w:rPr>
                      <w:rFonts w:ascii="Times New Roman" w:hAnsi="Times New Roman" w:eastAsia="바탕"/>
                      <w:sz w:val="18"/>
                    </w:rPr>
                    <w:t>Experts use the service and read the documentation before giving their opinion</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§5.8</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four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in order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