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전 세계 비문해 성인은 7억 3,900만 명이며, 그중 약 3분의 2인 4억 6,600만 명이 여성이다 (UNESCO UIS, 2024).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UIS, 2024). 중앙·남아시아는 3억 4,700만 명으로 사하라이남 아프리카 다음으로 많다 (UNESCO, 2025). 비문해 성인의 절반 이상인 4억 4,100만 명이 10개국에 집중되어 있다 (UNESCO UIS, 2024).</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건강정보이해능력이 "적절한 수준" 이라 함은 40점 만점에 30점 이상을 뜻한다 (국민건강영양조사,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(국민건강영양조사,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et al.,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et al.,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결과는 비용과 사망으로 나타난다. 복약 오류 관련 전 세계 연간 비용은 약 420억 달러로, 전 세계 보건 지출의 약 1%에 해당한다 (WHO,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(WHO,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(IDF Diabetes Atlas 11판,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2025). 사하라이남 아프리카의 모바일 인터넷 이용자는 2022년 약 2억 8,700만 명에서 2030년 4억 3,800만 명으로, 스마트폰 보급률은 51%에서 88%로 확대될 전망이다 (GSMA,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Pew Research Center,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를 함께 요구한다 (ANSI Z535.3-2022).</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w:t>
                  </w:r>
                </w:p>
              </w:tc>
              <w:tc>
                <w:tcPr>
                  <w:tcW w:type="dxa" w:w="2441"/>
                </w:tcPr>
                <w:p>
                  <w:r>
                    <w:rPr>
                      <w:rFonts w:ascii="Times New Roman" w:hAnsi="Times New Roman" w:eastAsia="바탕"/>
                      <w:sz w:val="18"/>
                    </w:rPr>
                    <w:t>남아공 저문해 환자 · 현지 제작 vs. USP</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이다. 국제적으로 통용되는 USP·FIP 픽토그램 108종을 필리핀 성인에게 시험했을 때 ANSI 85% 기준을 통과한 것은 17종, 여섯에 하나꼴에 그쳤다 (Gutierrez et al., 2022).</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같은 저자들의 앞선 비교에서도 현지 제작 픽토그램 20종이 ANSI 기준을 통과한 데 비해 USP 픽토그램은 11종에 그쳤다. 국제 표준으로 만들어진 것을 다른 문화권에 그대로 가져갔을 때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저문해 환자에게서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이 보고된 것도 같은 방향이다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451266"/>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45126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분자와 분모가 모두 확인된 연구만 실었고, Dowse &amp; Ehlers 의 20 대 11 은 분모를 확인하지 못해 뺐다. 본 연구 값(69.2%)은 §5.2 의 기계 판정 결과이며 사람에게 묻지 않았으므로 앞의 둘과 직접 비교할 수 없다. 같은 판에 놓은 것은 우열을 주장하기 위해서가 아니라, 우리 값이 이 분야가 반복해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이다. USP 라이선스는 "81개 심볼은 변형하거나 다른 이미지와 결합해서는 안 된다" 고 규정한다 (USP License Agreement). 즉 표준을 준수하는 한 조합은 앞으로도 불가능하다.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Times New Roman" w:hAnsi="Times New Roman" w:eastAsia="바탕"/>
                <w:i/>
                <w:sz w:val="20"/>
              </w:rPr>
              <w:t>It's not just illiteracy</w:t>
            </w:r>
            <w:r>
              <w:rPr>
                <w:rFonts w:ascii="Times New Roman" w:hAnsi="Times New Roman" w:eastAsia="바탕"/>
                <w:sz w:val="20"/>
              </w:rPr>
              <w:t>).</w:t>
            </w:r>
          </w:p>
          <w:p>
            <w:pPr>
              <w:spacing w:after="80" w:line="276" w:lineRule="auto"/>
              <w:jc w:val="both"/>
            </w:pPr>
            <w:r>
              <w:rPr>
                <w:rFonts w:ascii="Times New Roman" w:hAnsi="Times New Roman" w:eastAsia="바탕"/>
                <w:sz w:val="20"/>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2024). 여기에 건강 문해력 기준을 적용하면 유럽에서도 성인의 46%가 해당한다 (HLS19,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2024–2025).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w:t>
            </w:r>
            <w:r>
              <w:rPr>
                <w:rFonts w:ascii="Times New Roman" w:hAnsi="Times New Roman" w:eastAsia="바탕"/>
                <w:i/>
                <w:sz w:val="20"/>
              </w:rPr>
              <w:t>It's not just illiteracy</w:t>
            </w:r>
            <w:r>
              <w:rPr>
                <w:rFonts w:ascii="Times New Roman" w:hAnsi="Times New Roman" w:eastAsia="바탕"/>
                <w:sz w:val="20"/>
              </w:rPr>
              <w:t>),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색은 남성의 약 8%, 여성의 0.5%에게 전달되지 않는다 (색각이상 유병률).</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