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평균은 이 문제의 크기를 감춘다. 성인 문해율이 가장 낮은 15개국의 값은 29%에서 60% 사이이며, 차드는 28%다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[표 1] 성인 문해율이 낮은 국가 (2015~2024 인구조사,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[표 2] 비문해 성인이 가장 많은 10개국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이고, 유럽과 북미 일부 지역의 남성은 99%다 (UNESCO, 2025).</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2025). 세계 평균 88%와의 거리가 이 그림의 논지다.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3]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나라 안에서 더 크게 갈린다는 것이 이 그림의 논지다.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이들 국가의 성인 문해력은 2012년 이후 오히려 정체하거나 낮아졌다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세계보건기구는 2017년 제3차 국제 환자안전 과제로 Medication Without Harm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앞의 둘은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전제가 하나 더 있다. 글을 읽을 수 있다 해도 그 글이 자기 언어라는 보장이 없다. 세계 인구의 40%는 자신이 이해하는 언어로 교육에 접근하지 못하며, 문해력 조사조차 대부분 한 언어만으로 측정한다 (UNESCO, 2025). 처방전과 성분표는 그 나라의 공용어나 영어로 인쇄되므로, 문해율 통계에서 "읽을 수 있다" 로 집계된 사람 가운데도 자기 앞의 종이를 읽지 못하는 사람이 있다. 그림과 음성은 이 층을 함께 건너뛴다.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5]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5" name="Picture 5"/>
                  <wp:cNvGraphicFramePr>
                    <a:graphicFrameLocks noChangeAspect="1"/>
                  </wp:cNvGraphicFramePr>
                  <a:graphic>
                    <a:graphicData uri="http://schemas.openxmlformats.org/drawingml/2006/picture">
                      <pic:pic>
                        <pic:nvPicPr>
                          <pic:cNvPr id="0" name="chart04_smartphone.png"/>
                          <pic:cNvPicPr/>
                        </pic:nvPicPr>
                        <pic:blipFill>
                          <a:blip r:embed="rId1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정리하면 이 분야는 두 가지를 함께 관찰해 왔다. 잘 만든 그림은 실제로 오류를 줄인다(Yin 등, 2008: 47.8% → 5.4%). 그리고 만들었다고 해서 잘 만들어지는 것은 아니다(Gutierrez 등, 2022: 108종 중 17종). 앞의 것이 이 접근을 택할 이유이고, 뒤의 것이 만든 뒤에 재야 할 이유다.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60" w:after="60"/>
              <w:jc w:val="center"/>
            </w:pPr>
            <w:r>
              <w:drawing>
                <wp:inline xmlns:a="http://schemas.openxmlformats.org/drawingml/2006/main" xmlns:pic="http://schemas.openxmlformats.org/drawingml/2006/picture">
                  <wp:extent cx="5486400" cy="3108960"/>
                  <wp:docPr id="6" name="Picture 6"/>
                  <wp:cNvGraphicFramePr>
                    <a:graphicFrameLocks noChangeAspect="1"/>
                  </wp:cNvGraphicFramePr>
                  <a:graphic>
                    <a:graphicData uri="http://schemas.openxmlformats.org/drawingml/2006/picture">
                      <pic:pic>
                        <pic:nvPicPr>
                          <pic:cNvPr id="0" name="chart05_pictogram_pass.png"/>
                          <pic:cNvPicPr/>
                        </pic:nvPicPr>
                        <pic:blipFill>
                          <a:blip r:embed="rId20"/>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같은 라이선스에 한 조항이 더 있다. 픽토그램을 환자에게 정보를 전달하는 유일한 수단으로 쓰지 말 것. 표준을 만든 쪽이 그림 하나로는 부족하다고 적어 둔 것이며, 이는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첫째, 규모.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sz w:val="20"/>
              </w:rPr>
              <w:t xml:space="preserve">둘째, 대가.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셋째, 시각적 방법의 효과와 한계.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다섯째, 전달 경로의 개방. 미국 65세 이상의 78%가 이미 스마트폰을 보유하고 있다 (Pew Research Center,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7" name="Picture 7"/>
                  <wp:cNvGraphicFramePr>
                    <a:graphicFrameLocks noChangeAspect="1"/>
                  </wp:cNvGraphicFramePr>
                  <a:graphic>
                    <a:graphicData uri="http://schemas.openxmlformats.org/drawingml/2006/picture">
                      <pic:pic>
                        <pic:nvPicPr>
                          <pic:cNvPr id="0" name="fig01_home.png"/>
                          <pic:cNvPicPr/>
                        </pic:nvPicPr>
                        <pic:blipFill>
                          <a:blip r:embed="rId21"/>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8" name="Picture 8"/>
                  <wp:cNvGraphicFramePr>
                    <a:graphicFrameLocks noChangeAspect="1"/>
                  </wp:cNvGraphicFramePr>
                  <a:graphic>
                    <a:graphicData uri="http://schemas.openxmlformats.org/drawingml/2006/picture">
                      <pic:pic>
                        <pic:nvPicPr>
                          <pic:cNvPr id="0" name="fig02_sigil_sheet.png"/>
                          <pic:cNvPicPr/>
                        </pic:nvPicPr>
                        <pic:blipFill>
                          <a:blip r:embed="rId22"/>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9" name="Picture 9"/>
                  <wp:cNvGraphicFramePr>
                    <a:graphicFrameLocks noChangeAspect="1"/>
                  </wp:cNvGraphicFramePr>
                  <a:graphic>
                    <a:graphicData uri="http://schemas.openxmlformats.org/drawingml/2006/picture">
                      <pic:pic>
                        <pic:nvPicPr>
                          <pic:cNvPr id="0" name="fig03_dsl.png"/>
                          <pic:cNvPicPr/>
                        </pic:nvPicPr>
                        <pic:blipFill>
                          <a:blip r:embed="rId23"/>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9]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10]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10" name="Picture 10"/>
                  <wp:cNvGraphicFramePr>
                    <a:graphicFrameLocks noChangeAspect="1"/>
                  </wp:cNvGraphicFramePr>
                  <a:graphic>
                    <a:graphicData uri="http://schemas.openxmlformats.org/drawingml/2006/picture">
                      <pic:pic>
                        <pic:nvPicPr>
                          <pic:cNvPr id="0" name="panelA_flow.png"/>
                          <pic:cNvPicPr/>
                        </pic:nvPicPr>
                        <pic:blipFill>
                          <a:blip r:embed="rId24"/>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1" name="Picture 11"/>
                  <wp:cNvGraphicFramePr>
                    <a:graphicFrameLocks noChangeAspect="1"/>
                  </wp:cNvGraphicFramePr>
                  <a:graphic>
                    <a:graphicData uri="http://schemas.openxmlformats.org/drawingml/2006/picture">
                      <pic:pic>
                        <pic:nvPicPr>
                          <pic:cNvPr id="0" name="panelB_nutrition.png"/>
                          <pic:cNvPicPr/>
                        </pic:nvPicPr>
                        <pic:blipFill>
                          <a:blip r:embed="rId25"/>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2" name="Picture 12"/>
                  <wp:cNvGraphicFramePr>
                    <a:graphicFrameLocks noChangeAspect="1"/>
                  </wp:cNvGraphicFramePr>
                  <a:graphic>
                    <a:graphicData uri="http://schemas.openxmlformats.org/drawingml/2006/picture">
                      <pic:pic>
                        <pic:nvPicPr>
                          <pic:cNvPr id="0" name="fig10_dispenser.png"/>
                          <pic:cNvPicPr/>
                        </pic:nvPicPr>
                        <pic:blipFill>
                          <a:blip r:embed="rId26"/>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fig11_userflow.png"/>
                          <pic:cNvPicPr/>
                        </pic:nvPicPr>
                        <pic:blipFill>
                          <a:blip r:embed="rId27"/>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11]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11의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14" name="Picture 14"/>
                  <wp:cNvGraphicFramePr>
                    <a:graphicFrameLocks noChangeAspect="1"/>
                  </wp:cNvGraphicFramePr>
                  <a:graphic>
                    <a:graphicData uri="http://schemas.openxmlformats.org/drawingml/2006/picture">
                      <pic:pic>
                        <pic:nvPicPr>
                          <pic:cNvPr id="0" name="panelC_onboarding.png"/>
                          <pic:cNvPicPr/>
                        </pic:nvPicPr>
                        <pic:blipFill>
                          <a:blip r:embed="rId28"/>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12]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백분율을 숨기지 않고 그대로 보이는 것은 의도한 것이다. 저문해 사용자 연구에서 지적된 장벽 가운데 하나가 위압감(intimidation)이며 (Medhi, Cutrell &amp; Toyama,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13]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14]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10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15]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16]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17]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#15A34A</w:t>
                  </w:r>
                </w:p>
              </w:tc>
              <w:tc>
                <w:tcPr>
                  <w:tcW w:type="dxa" w:w="2429"/>
                </w:tcPr>
                <w:p>
                  <w:r>
                    <w:rPr>
                      <w:rFonts w:ascii="Times New Roman" w:hAnsi="Times New Roman" w:eastAsia="바탕"/>
                      <w:sz w:val="18"/>
                    </w:rPr>
                    <w:t xml:space="preserve">주황 </w:t>
                  </w:r>
                  <w:r>
                    <w:rPr>
                      <w:rFonts w:ascii="Consolas" w:hAnsi="Consolas" w:eastAsia="Consolas"/>
                      <w:sz w:val="17"/>
                    </w:rPr>
                    <w:t>#DE8500</w:t>
                  </w:r>
                </w:p>
              </w:tc>
              <w:tc>
                <w:tcPr>
                  <w:tcW w:type="dxa" w:w="2429"/>
                </w:tcPr>
                <w:p>
                  <w:r>
                    <w:rPr>
                      <w:rFonts w:ascii="Times New Roman" w:hAnsi="Times New Roman" w:eastAsia="바탕"/>
                      <w:sz w:val="18"/>
                    </w:rPr>
                    <w:t xml:space="preserve">빨강 </w:t>
                  </w:r>
                  <w:r>
                    <w:rPr>
                      <w:rFonts w:ascii="Consolas" w:hAnsi="Consolas" w:eastAsia="Consolas"/>
                      <w:sz w:val="17"/>
                    </w:rPr>
                    <w:t>#DC2626</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18]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19]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한 가지 대가를 적어 둔다.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21의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21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DS3231 이 안다. 릴레이가 멎었든, 닿지 않든, 아예 설정되지 않았든 누구의 복용도 놓치지 않는다. 표 21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22]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22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15" name="Picture 15"/>
                  <wp:cNvGraphicFramePr>
                    <a:graphicFrameLocks noChangeAspect="1"/>
                  </wp:cNvGraphicFramePr>
                  <a:graphic>
                    <a:graphicData uri="http://schemas.openxmlformats.org/drawingml/2006/picture">
                      <pic:pic>
                        <pic:nvPicPr>
                          <pic:cNvPr id="0" name="fig14_formsheet.png"/>
                          <pic:cNvPicPr/>
                        </pic:nvPicPr>
                        <pic:blipFill>
                          <a:blip r:embed="rId29"/>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23]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24]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25]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26]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27]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6" name="Picture 16"/>
                  <wp:cNvGraphicFramePr>
                    <a:graphicFrameLocks noChangeAspect="1"/>
                  </wp:cNvGraphicFramePr>
                  <a:graphic>
                    <a:graphicData uri="http://schemas.openxmlformats.org/drawingml/2006/picture">
                      <pic:pic>
                        <pic:nvPicPr>
                          <pic:cNvPr id="0" name="chart06_formative.png"/>
                          <pic:cNvPicPr/>
                        </pic:nvPicPr>
                        <pic:blipFill>
                          <a:blip r:embed="rId3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28]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29]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7" name="Picture 17"/>
                  <wp:cNvGraphicFramePr>
                    <a:graphicFrameLocks noChangeAspect="1"/>
                  </wp:cNvGraphicFramePr>
                  <a:graphic>
                    <a:graphicData uri="http://schemas.openxmlformats.org/drawingml/2006/picture">
                      <pic:pic>
                        <pic:nvPicPr>
                          <pic:cNvPr id="0" name="chart07_glyph_check.png"/>
                          <pic:cNvPicPr/>
                        </pic:nvPicPr>
                        <pic:blipFill>
                          <a:blip r:embed="rId3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30]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31]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32]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8" name="Picture 18"/>
                  <wp:cNvGraphicFramePr>
                    <a:graphicFrameLocks noChangeAspect="1"/>
                  </wp:cNvGraphicFramePr>
                  <a:graphic>
                    <a:graphicData uri="http://schemas.openxmlformats.org/drawingml/2006/picture">
                      <pic:pic>
                        <pic:nvPicPr>
                          <pic:cNvPr id="0" name="chart08_model_mae.png"/>
                          <pic:cNvPicPr/>
                        </pic:nvPicPr>
                        <pic:blipFill>
                          <a:blip r:embed="rId3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33]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34]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적어 둔다.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어떻게 물었는가</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35] 명단의 여덟 영역 (합계 1,103명)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34명이 답했다. 발송 대비 3.1% 이며, 자유 서술 93건이 함께 왔다.</w:t>
            </w:r>
          </w:p>
          <w:p>
            <w:pPr>
              <w:spacing w:after="80" w:line="276" w:lineRule="auto"/>
              <w:jc w:val="both"/>
            </w:pPr>
            <w:r>
              <w:rPr>
                <w:rFonts w:ascii="Times New Roman" w:hAnsi="Times New Roman" w:eastAsia="바탕"/>
                <w:sz w:val="20"/>
              </w:rPr>
              <w:t>[표 36] 응답자 구성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응답자가 일한다고 적은 나라는 다섯 대륙에 걸쳐 19개국이며, 한국만 적은 사람이 16명이다.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37] 응답자 34명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(11명)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44%(15명)가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38] 글을 읽지 못하는 환자가 이 화면만으로 혼자 약을 제대로 복용할 수 있겠는가 (판단 자격 다섯 구획,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11명 중 8명이 이 앱이 만든 지시를 약사가 매번 검토해야 한다고 답했고, 처음 한 번이면 충분하다는 답이 3명이었다. 놓일 자리로는 약사 설명을 보조하는 도구 6명, 환자가 집에서 혼자 확인하는 수단 3명, 약사가 닿지 못하는 환자의 대체 경로 2명이다. 의학적으로 가장 틀리면 안 되는 것으로는 복용량과 횟수 6명, 병용금기와 상호작용 3명을 꼽았다.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39] 판단 문항의 비율과 95% 신뢰구간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19" name="Picture 19"/>
                  <wp:cNvGraphicFramePr>
                    <a:graphicFrameLocks noChangeAspect="1"/>
                  </wp:cNvGraphicFramePr>
                  <a:graphic>
                    <a:graphicData uri="http://schemas.openxmlformats.org/drawingml/2006/picture">
                      <pic:pic>
                        <pic:nvPicPr>
                          <pic:cNvPr id="0" name="chart10_survey.png"/>
                          <pic:cNvPicPr/>
                        </pic:nvPicPr>
                        <pic:blipFill>
                          <a:blip r:embed="rId3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판단 문항의 비율과 95% 신뢰구간 (n = 24). 점이 비율, 선이 구간이다. 구간이 넓은 것이 이 표본의 크기이며, 그림에서 읽어야 할 것은 점의 위치가 아니라 선의 길이다. "아니오" 가 0건이라도 구간은 13.8%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13.8% 아래일 것이라는 정도이며, 24명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40]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5/20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4/11,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0/10,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마지막 줄 하나뿐이며, 그것은 오래 머문 사람이 더 길게 적었다는 것으로 내용에 관한 발견이 아니다. 즉 이 조사에서 집단 간 차이를 말할 수 있는 것은 없다. 유의하지 않은 검정을 빼고 유의한 것만 싣는 것이 이 표본에서 할 수 있는 가장 나쁜 일이므로, 돌린 것을 모두 적었다.</w:t>
            </w:r>
          </w:p>
          <w:p>
            <w:pPr>
              <w:spacing w:after="80" w:line="276" w:lineRule="auto"/>
              <w:jc w:val="both"/>
            </w:pPr>
            <w:r>
              <w:rPr>
                <w:rFonts w:ascii="Times New Roman" w:hAnsi="Times New Roman" w:eastAsia="바탕"/>
                <w:sz w:val="20"/>
              </w:rPr>
              <w:t>넷째 줄과 다섯째 줄은 흥미롭지만 주장으로 삼지 않는다. 한국어로 답한 열 명 가운데 "가능" 이라고 답한 사람이 하나도 없고 영어로 답한 열넷 중에서는 절반이 그렇게 답했다는 것, 그리고 한국어 응답자가 영어 응답자보다 훨씬 짧게 머물렀다는 것은 보정 전에는 유의하나 보정 후에는 아니다. 그리고 언어는 응답자의 국가·직군과 얽혀 있으므로, 차이가 있다 해도 그것이 언어 때문인지 다른 것 때문인지 이 자료로는 가를 수 없다.</w:t>
            </w:r>
          </w:p>
          <w:p>
            <w:pPr>
              <w:spacing w:after="80" w:line="276" w:lineRule="auto"/>
              <w:jc w:val="both"/>
            </w:pPr>
            <w:r>
              <w:rPr>
                <w:rFonts w:ascii="Times New Roman" w:hAnsi="Times New Roman" w:eastAsia="바탕"/>
                <w:sz w:val="20"/>
              </w:rPr>
              <w:t>여섯째 줄만 따로 읽어 둘 만하다. 소요 시간과 자유 서술량의 순위상관이 0.717 이라는 것은 오래 머문 사람이 실제로 더 많이 적었다는 뜻이며, 응답의 성의를 재는 대리 지표로 쓸 수 있다. 소요 시간 중앙값은 10.3분, 사분위는 6.0분에서 40.5분이다. E. A. Draffan 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34명 중 29명이 적었고 113건이다. 같은 지적이 몇 명에게서 독립적으로 나왔는지를 낱말로 훑어 세면 검증 부재 6명, 한 장의 요소 과다 5명, 시각장애인 5명, 금지 표시 4명, 기존 세트 참조 3명이다.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적었다.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이용한 한국공예디자인문화진흥원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이용한 선임은 "글을 읽지 못하는 사람 가운데 가장 많은 수는 문맹이 아닌 시각장애인일 것이며, 시각장애인에게는 사진을 찍는 행위 자체가 장애 요소가 된다" 고 적었다. 인도네시아의 Niken Nur Widyakusuma 약사도 시각장애 환자를 훨씬 많이 본다고 답했고, 윤휘열 충남대학교 약학대학 교수는 한국에서는 주로 외국인 환자라고 적었다. §1.5 에서 "글을 읽을 수 있다 해도 그 글이 자기 언어라는 보장이 없다" 고 쓴 것과 같은 방향이며, 우리가 대상을 좁게 잡았다는 뜻이다.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적었다. 우리는 인쇄된 표본으로만 시험했다.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Draffan(Global Symbols)은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적었다.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적었다.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11명 중 8명이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한국장애인개발원 최묘정 연구원은 Nielsen 과 Landauer(1993)를 들어 15명 내외의 소규모 표본으로도 사용성 평가의 타당성을 확보할 수 있으며, 소규모 표본은 오히려 사용자 행동과 반응을 세부적으로 파악할 수 있으므로 설문 응답과 함께 행동 분석을 병행하라고 적었다.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적었다.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41]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(11)</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11명 가운데 9명이 그림과 음성만으로는 전달하면 안 되는 것이 있다고 답했다. 병용금기와 상호작용이 4명,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34명이 답했고, 답한 사람은 이 주제에 관심이 있는 사람이다. 답하지 않은 1,069명의 판단은 알 수 없다.</w:t>
            </w:r>
          </w:p>
          <w:p>
            <w:pPr>
              <w:spacing w:after="80" w:line="276" w:lineRule="auto"/>
              <w:jc w:val="both"/>
            </w:pPr>
            <w:r>
              <w:rPr>
                <w:rFonts w:ascii="Times New Roman" w:hAnsi="Times New Roman" w:eastAsia="바탕"/>
                <w:sz w:val="20"/>
              </w:rPr>
              <w:t>분모가 작다. 가장 큰 구획인 약국이 11명이다. 백분율로 적으면 한 사람이 9%p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34명 중 29명이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42]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둘째, 문화 적응이 검증되지 않았다.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43]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34명이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§5.7 에서 지적된 결함의 수정</w:t>
                  </w:r>
                </w:p>
              </w:tc>
              <w:tc>
                <w:tcPr>
                  <w:tcW w:type="dxa" w:w="3238"/>
                </w:tcPr>
                <w:p>
                  <w:r>
                    <w:rPr>
                      <w:rFonts w:ascii="Times New Roman" w:hAnsi="Times New Roman" w:eastAsia="바탕"/>
                      <w:sz w:val="18"/>
                    </w:rPr>
                    <w:t xml:space="preserve">금기에 </w:t>
                  </w:r>
                  <w:r>
                    <w:rPr>
                      <w:rFonts w:ascii="Consolas" w:hAnsi="Consolas" w:eastAsia="Consolas"/>
                      <w:sz w:val="17"/>
                    </w:rPr>
                    <w:t>\no{}</w:t>
                  </w:r>
                  <w:r>
                    <w:rPr>
                      <w:rFonts w:ascii="Times New Roman" w:hAnsi="Times New Roman" w:eastAsia="바탕"/>
                      <w:sz w:val="18"/>
                    </w:rPr>
                    <w:t xml:space="preserve"> 적용, </w:t>
                  </w:r>
                  <w:r>
                    <w:rPr>
                      <w:rFonts w:ascii="Consolas" w:hAnsi="Consolas" w:eastAsia="Consolas"/>
                      <w:sz w:val="17"/>
                    </w:rPr>
                    <w:t>finish_course</w:t>
                  </w:r>
                  <w:r>
                    <w:rPr>
                      <w:rFonts w:ascii="Times New Roman" w:hAnsi="Times New Roman" w:eastAsia="바탕"/>
                      <w:sz w:val="18"/>
                    </w:rPr>
                    <w:t xml:space="preserve"> 재설계, 한 장의 요소 수 축소</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있다는 점도 적어 둔다.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after="80" w:line="276" w:lineRule="auto"/>
              <w:jc w:val="both"/>
            </w:pPr>
            <w:r>
              <w:rPr>
                <w:rFonts w:ascii="Times New Roman" w:hAnsi="Times New Roman" w:eastAsia="바탕"/>
                <w:sz w:val="20"/>
              </w:rPr>
              <w:t>&lt;!-- 부록 시작. survey_appendix.py 가 생성한다. 손으로 고치지 말 것 --&gt;</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113건을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이교구</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3238"/>
                </w:tcPr>
                <w:p>
                  <w:r>
                    <w:rPr>
                      <w:rFonts w:ascii="Times New Roman" w:hAnsi="Times New Roman" w:eastAsia="바탕"/>
                      <w:sz w:val="18"/>
                    </w:rPr>
                    <w:t>(성함 비공개)</w:t>
                  </w:r>
                </w:p>
              </w:tc>
              <w:tc>
                <w:tcPr>
                  <w:tcW w:type="dxa" w:w="3238"/>
                </w:tcPr>
                <w:p>
                  <w:r>
                    <w:rPr>
                      <w:rFonts w:ascii="Times New Roman" w:hAnsi="Times New Roman" w:eastAsia="바탕"/>
                      <w:sz w:val="18"/>
                    </w:rPr>
                    <w:t>GC메디아이 의사랑 서비스센터</w:t>
                  </w:r>
                </w:p>
              </w:tc>
              <w:tc>
                <w:tcPr>
                  <w:tcW w:type="dxa" w:w="3238"/>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3238"/>
                </w:tcPr>
                <w:p>
                  <w:r>
                    <w:rPr>
                      <w:rFonts w:ascii="Times New Roman" w:hAnsi="Times New Roman" w:eastAsia="바탕"/>
                      <w:sz w:val="18"/>
                    </w:rPr>
                    <w:t>박경서</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3238"/>
                </w:tcPr>
                <w:p>
                  <w:r>
                    <w:rPr>
                      <w:rFonts w:ascii="Times New Roman" w:hAnsi="Times New Roman" w:eastAsia="바탕"/>
                      <w:sz w:val="18"/>
                    </w:rPr>
                    <w:t>서희정</w:t>
                  </w:r>
                </w:p>
              </w:tc>
              <w:tc>
                <w:tcPr>
                  <w:tcW w:type="dxa" w:w="3238"/>
                </w:tcPr>
                <w:p>
                  <w:r>
                    <w:rPr>
                      <w:rFonts w:ascii="Times New Roman" w:hAnsi="Times New Roman" w:eastAsia="바탕"/>
                      <w:sz w:val="18"/>
                    </w:rPr>
                    <w:t>동의대학교</w:t>
                  </w:r>
                </w:p>
              </w:tc>
              <w:tc>
                <w:tcPr>
                  <w:tcW w:type="dxa" w:w="3238"/>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3238"/>
                </w:tcPr>
                <w:p>
                  <w:r>
                    <w:rPr>
                      <w:rFonts w:ascii="Times New Roman" w:hAnsi="Times New Roman" w:eastAsia="바탕"/>
                      <w:sz w:val="18"/>
                    </w:rPr>
                    <w:t>이경화</w:t>
                  </w:r>
                </w:p>
              </w:tc>
              <w:tc>
                <w:tcPr>
                  <w:tcW w:type="dxa" w:w="3238"/>
                </w:tcPr>
                <w:p>
                  <w:r>
                    <w:rPr>
                      <w:rFonts w:ascii="Times New Roman" w:hAnsi="Times New Roman" w:eastAsia="바탕"/>
                      <w:sz w:val="18"/>
                    </w:rPr>
                    <w:t>숭실대학교</w:t>
                  </w:r>
                </w:p>
              </w:tc>
              <w:tc>
                <w:tcPr>
                  <w:tcW w:type="dxa" w:w="3238"/>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나라마다 상황이 다른 점을 앞으로 반영할 계획 필요</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Nothing. Good look!</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3238"/>
                </w:tcPr>
                <w:p>
                  <w:r>
                    <w:rPr>
                      <w:rFonts w:ascii="Times New Roman" w:hAnsi="Times New Roman" w:eastAsia="바탕"/>
                      <w:sz w:val="18"/>
                    </w:rPr>
                    <w:t>Rahul Malhotra</w:t>
                  </w:r>
                </w:p>
              </w:tc>
              <w:tc>
                <w:tcPr>
                  <w:tcW w:type="dxa" w:w="3238"/>
                </w:tcPr>
                <w:p>
                  <w:r>
                    <w:rPr>
                      <w:rFonts w:ascii="Times New Roman" w:hAnsi="Times New Roman" w:eastAsia="바탕"/>
                      <w:sz w:val="18"/>
                    </w:rPr>
                    <w:t>Duke-NUS Medical School</w:t>
                  </w:r>
                </w:p>
              </w:tc>
              <w:tc>
                <w:tcPr>
                  <w:tcW w:type="dxa" w:w="3238"/>
                </w:tcPr>
                <w:p>
                  <w:r>
                    <w:rPr>
                      <w:rFonts w:ascii="Times New Roman" w:hAnsi="Times New Roman" w:eastAsia="바탕"/>
                      <w:sz w:val="18"/>
                    </w:rPr>
                    <w:t>Pictograms need to validated for understanding before use</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그림이 무슨 뜻인지 모르거나 잘못 해석할 수 있음</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It is clear and concise</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it will be a so much helpful lot of patient with disabilities and illiterate.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picture is more aligned to people who cannot read without under estimating their intelligence</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fridge vs at mid-day Maybe at least two colours would be beneficial to some patients - black + red (warnings), black+yellow (for day); ...</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Yes.</w:t>
                  </w:r>
                </w:p>
              </w:tc>
            </w:tr>
            <w:tr>
              <w:tc>
                <w:tcPr>
                  <w:tcW w:type="dxa" w:w="3238"/>
                </w:tcPr>
                <w:p>
                  <w:r>
                    <w:rPr>
                      <w:rFonts w:ascii="Times New Roman" w:hAnsi="Times New Roman" w:eastAsia="바탕"/>
                      <w:sz w:val="18"/>
                    </w:rPr>
                    <w:t>유명순</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절반의 그림</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design needs robust testing. It looks to me that interpretation errors may happen, especially in cross-cultural practice.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Raisa Kravchenko</w:t>
                  </w:r>
                </w:p>
              </w:tc>
              <w:tc>
                <w:tcPr>
                  <w:tcW w:type="dxa" w:w="3238"/>
                </w:tcPr>
                <w:p>
                  <w:r>
                    <w:rPr>
                      <w:rFonts w:ascii="Times New Roman" w:hAnsi="Times New Roman" w:eastAsia="바탕"/>
                      <w:sz w:val="18"/>
                    </w:rPr>
                    <w:t>All Ukrainian NGO Coalition</w:t>
                  </w:r>
                </w:p>
              </w:tc>
              <w:tc>
                <w:tcPr>
                  <w:tcW w:type="dxa" w:w="3238"/>
                </w:tcPr>
                <w:p>
                  <w:r>
                    <w:rPr>
                      <w:rFonts w:ascii="Times New Roman" w:hAnsi="Times New Roman" w:eastAsia="바탕"/>
                      <w:sz w:val="18"/>
                    </w:rPr>
                    <w:t>It is OK with problem framing and 2 ways of presentation of the medicine intake solutions.</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The pictograms need to be tested in the real world to ascertain their utility in patient information and medication use.</w:t>
                  </w:r>
                </w:p>
              </w:tc>
            </w:tr>
            <w:tr>
              <w:tc>
                <w:tcPr>
                  <w:tcW w:type="dxa" w:w="3238"/>
                </w:tcPr>
                <w:p>
                  <w:r>
                    <w:rPr>
                      <w:rFonts w:ascii="Times New Roman" w:hAnsi="Times New Roman" w:eastAsia="바탕"/>
                      <w:sz w:val="18"/>
                    </w:rPr>
                    <w:t>Mustapha Taibi</w:t>
                  </w:r>
                </w:p>
              </w:tc>
              <w:tc>
                <w:tcPr>
                  <w:tcW w:type="dxa" w:w="3238"/>
                </w:tcPr>
                <w:p>
                  <w:r>
                    <w:rPr>
                      <w:rFonts w:ascii="Times New Roman" w:hAnsi="Times New Roman" w:eastAsia="바탕"/>
                      <w:sz w:val="18"/>
                    </w:rPr>
                    <w:t>Western Sydney University</w:t>
                  </w:r>
                </w:p>
              </w:tc>
              <w:tc>
                <w:tcPr>
                  <w:tcW w:type="dxa" w:w="3238"/>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Afonso Cavaco</w:t>
                  </w:r>
                </w:p>
              </w:tc>
              <w:tc>
                <w:tcPr>
                  <w:tcW w:type="dxa" w:w="3238"/>
                </w:tcPr>
                <w:p>
                  <w:r>
                    <w:rPr>
                      <w:rFonts w:ascii="Times New Roman" w:hAnsi="Times New Roman" w:eastAsia="바탕"/>
                      <w:sz w:val="18"/>
                    </w:rPr>
                    <w:t>Universidade de Lisboa</w:t>
                  </w:r>
                </w:p>
              </w:tc>
              <w:tc>
                <w:tcPr>
                  <w:tcW w:type="dxa" w:w="3238"/>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3238"/>
                </w:tcPr>
                <w:p>
                  <w:r>
                    <w:rPr>
                      <w:rFonts w:ascii="Times New Roman" w:hAnsi="Times New Roman" w:eastAsia="바탕"/>
                      <w:sz w:val="18"/>
                    </w:rPr>
                    <w:t>Srikanth Malavalli Siddalingegwod</w:t>
                  </w:r>
                </w:p>
              </w:tc>
              <w:tc>
                <w:tcPr>
                  <w:tcW w:type="dxa" w:w="3238"/>
                </w:tcPr>
                <w:p>
                  <w:r>
                    <w:rPr>
                      <w:rFonts w:ascii="Times New Roman" w:hAnsi="Times New Roman" w:eastAsia="바탕"/>
                      <w:sz w:val="18"/>
                    </w:rPr>
                    <w:t>JSS College of Pharmacy</w:t>
                  </w:r>
                </w:p>
              </w:tc>
              <w:tc>
                <w:tcPr>
                  <w:tcW w:type="dxa" w:w="3238"/>
                </w:tcPr>
                <w:p>
                  <w:r>
                    <w:rPr>
                      <w:rFonts w:ascii="Times New Roman" w:hAnsi="Times New Roman" w:eastAsia="바탕"/>
                      <w:sz w:val="18"/>
                    </w:rPr>
                    <w:t>Moreover, it will help to achieve proper medication adherence and to get desired therapeutic outcome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환자에게 불필요한 정보를 주어 약물치료를 중단하는 사례도 있을 수 있을 것 같음.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Because the instructions have to be standardized/ validated for public use.</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(6건)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Simplify the regimen. Embed something that can be feel by patient with visual impairment, such as  tearing the packages a bit.</w:t>
                  </w:r>
                </w:p>
              </w:tc>
            </w:tr>
            <w:tr>
              <w:tc>
                <w:tcPr>
                  <w:tcW w:type="dxa" w:w="3238"/>
                </w:tcPr>
                <w:p>
                  <w:r>
                    <w:rPr>
                      <w:rFonts w:ascii="Times New Roman" w:hAnsi="Times New Roman" w:eastAsia="바탕"/>
                      <w:sz w:val="18"/>
                    </w:rPr>
                    <w:t>Samirah Abdu-Aguye</w:t>
                  </w:r>
                </w:p>
              </w:tc>
              <w:tc>
                <w:tcPr>
                  <w:tcW w:type="dxa" w:w="3238"/>
                </w:tcPr>
                <w:p>
                  <w:r>
                    <w:rPr>
                      <w:rFonts w:ascii="Times New Roman" w:hAnsi="Times New Roman" w:eastAsia="바탕"/>
                      <w:sz w:val="18"/>
                    </w:rPr>
                    <w:t>Ahmadu Bello University, Zaria</w:t>
                  </w:r>
                </w:p>
              </w:tc>
              <w:tc>
                <w:tcPr>
                  <w:tcW w:type="dxa" w:w="3238"/>
                </w:tcPr>
                <w:p>
                  <w:r>
                    <w:rPr>
                      <w:rFonts w:ascii="Times New Roman" w:hAnsi="Times New Roman" w:eastAsia="바탕"/>
                      <w:sz w:val="18"/>
                    </w:rPr>
                    <w:t>Carefully explain to the patient, and have them repeat after me. Also talk to some other relative/caregiver of the patient</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Explain verbally, and ensure the patient understands how to use it correctly.</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Interactions with other medicines/OTC/dietary supplements/health-care condition that may be clinically significant.</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Niken Nur Widyakusuma</w:t>
                  </w:r>
                </w:p>
              </w:tc>
              <w:tc>
                <w:tcPr>
                  <w:tcW w:type="dxa" w:w="3238"/>
                </w:tcPr>
                <w:p>
                  <w:r>
                    <w:rPr>
                      <w:rFonts w:ascii="Times New Roman" w:hAnsi="Times New Roman" w:eastAsia="바탕"/>
                      <w:sz w:val="18"/>
                    </w:rPr>
                    <w:t>Universitas Gadjah Mada</w:t>
                  </w:r>
                </w:p>
              </w:tc>
              <w:tc>
                <w:tcPr>
                  <w:tcW w:type="dxa" w:w="3238"/>
                </w:tcPr>
                <w:p>
                  <w:r>
                    <w:rPr>
                      <w:rFonts w:ascii="Times New Roman" w:hAnsi="Times New Roman" w:eastAsia="바탕"/>
                      <w:sz w:val="18"/>
                    </w:rPr>
                    <w:t>Instead of 3 times a day, better to say every 8 hours</w:t>
                  </w:r>
                </w:p>
              </w:tc>
            </w:tr>
            <w:tr>
              <w:tc>
                <w:tcPr>
                  <w:tcW w:type="dxa" w:w="3238"/>
                </w:tcPr>
                <w:p>
                  <w:r>
                    <w:rPr>
                      <w:rFonts w:ascii="Times New Roman" w:hAnsi="Times New Roman" w:eastAsia="바탕"/>
                      <w:sz w:val="18"/>
                    </w:rPr>
                    <w:t>이소영</w:t>
                  </w:r>
                </w:p>
              </w:tc>
              <w:tc>
                <w:tcPr>
                  <w:tcW w:type="dxa" w:w="3238"/>
                </w:tcPr>
                <w:p>
                  <w:r>
                    <w:rPr>
                      <w:rFonts w:ascii="Times New Roman" w:hAnsi="Times New Roman" w:eastAsia="바탕"/>
                      <w:sz w:val="18"/>
                    </w:rPr>
                    <w:t>충남대학교</w:t>
                  </w:r>
                </w:p>
              </w:tc>
              <w:tc>
                <w:tcPr>
                  <w:tcW w:type="dxa" w:w="3238"/>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3238"/>
                </w:tcPr>
                <w:p>
                  <w:r>
                    <w:rPr>
                      <w:rFonts w:ascii="Times New Roman" w:hAnsi="Times New Roman" w:eastAsia="바탕"/>
                      <w:sz w:val="18"/>
                    </w:rPr>
                    <w:t>Katarina Vučićević</w:t>
                  </w:r>
                </w:p>
              </w:tc>
              <w:tc>
                <w:tcPr>
                  <w:tcW w:type="dxa" w:w="3238"/>
                </w:tcPr>
                <w:p>
                  <w:r>
                    <w:rPr>
                      <w:rFonts w:ascii="Times New Roman" w:hAnsi="Times New Roman" w:eastAsia="바탕"/>
                      <w:sz w:val="18"/>
                    </w:rPr>
                    <w:t>University of Belgrade</w:t>
                  </w:r>
                </w:p>
              </w:tc>
              <w:tc>
                <w:tcPr>
                  <w:tcW w:type="dxa" w:w="3238"/>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윤휘열</w:t>
                  </w:r>
                </w:p>
              </w:tc>
              <w:tc>
                <w:tcPr>
                  <w:tcW w:type="dxa" w:w="3238"/>
                </w:tcPr>
                <w:p>
                  <w:r>
                    <w:rPr>
                      <w:rFonts w:ascii="Times New Roman" w:hAnsi="Times New Roman" w:eastAsia="바탕"/>
                      <w:sz w:val="18"/>
                    </w:rPr>
                    <w:t>충남대학교 약학대학</w:t>
                  </w:r>
                </w:p>
              </w:tc>
              <w:tc>
                <w:tcPr>
                  <w:tcW w:type="dxa" w:w="3238"/>
                </w:tcPr>
                <w:p>
                  <w:r>
                    <w:rPr>
                      <w:rFonts w:ascii="Times New Roman" w:hAnsi="Times New Roman" w:eastAsia="바탕"/>
                      <w:sz w:val="18"/>
                    </w:rPr>
                    <w:t>https://health.kr/mediCounsel/pictogram.asp 전세계약사들을 위한 픽토그램 정보를 확인하실 수 있습니다.</w:t>
                  </w:r>
                </w:p>
              </w:tc>
            </w:tr>
            <w:tr>
              <w:tc>
                <w:tcPr>
                  <w:tcW w:type="dxa" w:w="3238"/>
                </w:tcPr>
                <w:p>
                  <w:r>
                    <w:rPr>
                      <w:rFonts w:ascii="Times New Roman" w:hAnsi="Times New Roman" w:eastAsia="바탕"/>
                      <w:sz w:val="18"/>
                    </w:rPr>
                    <w:t>Atif Usman</w:t>
                  </w:r>
                </w:p>
              </w:tc>
              <w:tc>
                <w:tcPr>
                  <w:tcW w:type="dxa" w:w="3238"/>
                </w:tcPr>
                <w:p>
                  <w:r>
                    <w:rPr>
                      <w:rFonts w:ascii="Times New Roman" w:hAnsi="Times New Roman" w:eastAsia="바탕"/>
                      <w:sz w:val="18"/>
                    </w:rPr>
                    <w:t>The Islamia University of Bahawalpur</w:t>
                  </w:r>
                </w:p>
              </w:tc>
              <w:tc>
                <w:tcPr>
                  <w:tcW w:type="dxa" w:w="3238"/>
                </w:tcPr>
                <w:p>
                  <w:r>
                    <w:rPr>
                      <w:rFonts w:ascii="Times New Roman" w:hAnsi="Times New Roman" w:eastAsia="바탕"/>
                      <w:sz w:val="18"/>
                    </w:rPr>
                    <w:t>Yes, USP pictograms.</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Sheron Sir Loon Goh</w:t>
                  </w:r>
                </w:p>
              </w:tc>
              <w:tc>
                <w:tcPr>
                  <w:tcW w:type="dxa" w:w="3238"/>
                </w:tcPr>
                <w:p>
                  <w:r>
                    <w:rPr>
                      <w:rFonts w:ascii="Times New Roman" w:hAnsi="Times New Roman" w:eastAsia="바탕"/>
                      <w:sz w:val="18"/>
                    </w:rPr>
                    <w:t>Dept. of Clinical Pharmacy and Pharmacy Practice</w:t>
                  </w:r>
                </w:p>
              </w:tc>
              <w:tc>
                <w:tcPr>
                  <w:tcW w:type="dxa" w:w="3238"/>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This will only work for typed text</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만성질환이 많은 노인대상자들이라면 복약순응도가 높아지면 건강결과는 바뀔수 있습니다.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3238"/>
                </w:tcPr>
                <w:p>
                  <w:r>
                    <w:rPr>
                      <w:rFonts w:ascii="Times New Roman" w:hAnsi="Times New Roman" w:eastAsia="바탕"/>
                      <w:sz w:val="18"/>
                    </w:rPr>
                    <w:t>Aliya Naheed</w:t>
                  </w:r>
                </w:p>
              </w:tc>
              <w:tc>
                <w:tcPr>
                  <w:tcW w:type="dxa" w:w="3238"/>
                </w:tcPr>
                <w:p>
                  <w:r>
                    <w:rPr>
                      <w:rFonts w:ascii="Times New Roman" w:hAnsi="Times New Roman" w:eastAsia="바탕"/>
                      <w:sz w:val="18"/>
                    </w:rPr>
                    <w:t>icddr,b</w:t>
                  </w:r>
                </w:p>
              </w:tc>
              <w:tc>
                <w:tcPr>
                  <w:tcW w:type="dxa" w:w="3238"/>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조성일</w:t>
                  </w:r>
                </w:p>
              </w:tc>
              <w:tc>
                <w:tcPr>
                  <w:tcW w:type="dxa" w:w="3238"/>
                </w:tcPr>
                <w:p>
                  <w:r>
                    <w:rPr>
                      <w:rFonts w:ascii="Times New Roman" w:hAnsi="Times New Roman" w:eastAsia="바탕"/>
                      <w:sz w:val="18"/>
                    </w:rPr>
                    <w:t>서울대학교</w:t>
                  </w:r>
                </w:p>
              </w:tc>
              <w:tc>
                <w:tcPr>
                  <w:tcW w:type="dxa" w:w="3238"/>
                </w:tcPr>
                <w:p>
                  <w:r>
                    <w:rPr>
                      <w:rFonts w:ascii="Times New Roman" w:hAnsi="Times New Roman" w:eastAsia="바탕"/>
                      <w:sz w:val="18"/>
                    </w:rPr>
                    <w:t>위 1,2,3 모두 가능</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suggest two instruments should be used the medication adherence and the K-HLAT-*, HLS Family</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I am not convinced anybody actually gets proper medication information</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Not that i know off</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Celia</w:t>
                  </w:r>
                </w:p>
              </w:tc>
              <w:tc>
                <w:tcPr>
                  <w:tcW w:type="dxa" w:w="3238"/>
                </w:tcPr>
                <w:p>
                  <w:r>
                    <w:rPr>
                      <w:rFonts w:ascii="Times New Roman" w:hAnsi="Times New Roman" w:eastAsia="바탕"/>
                      <w:sz w:val="18"/>
                    </w:rPr>
                    <w:t>University of Pretoria</w:t>
                  </w:r>
                </w:p>
              </w:tc>
              <w:tc>
                <w:tcPr>
                  <w:tcW w:type="dxa" w:w="3238"/>
                </w:tcPr>
                <w:p>
                  <w:r>
                    <w:rPr>
                      <w:rFonts w:ascii="Times New Roman" w:hAnsi="Times New Roman" w:eastAsia="바탕"/>
                      <w:sz w:val="18"/>
                    </w:rPr>
                    <w:t>Although i do not feel  separate designs will be required</w:t>
                  </w:r>
                </w:p>
              </w:tc>
            </w:tr>
            <w:tr>
              <w:tc>
                <w:tcPr>
                  <w:tcW w:type="dxa" w:w="3238"/>
                </w:tcPr>
                <w:p>
                  <w:r>
                    <w:rPr>
                      <w:rFonts w:ascii="Times New Roman" w:hAnsi="Times New Roman" w:eastAsia="바탕"/>
                      <w:sz w:val="18"/>
                    </w:rPr>
                    <w:t>Foued Maaoui</w:t>
                  </w:r>
                </w:p>
              </w:tc>
              <w:tc>
                <w:tcPr>
                  <w:tcW w:type="dxa" w:w="3238"/>
                </w:tcPr>
                <w:p>
                  <w:r>
                    <w:rPr>
                      <w:rFonts w:ascii="Times New Roman" w:hAnsi="Times New Roman" w:eastAsia="바탕"/>
                      <w:sz w:val="18"/>
                    </w:rPr>
                    <w:t>Pasteur Institute of Tunis</w:t>
                  </w:r>
                </w:p>
              </w:tc>
              <w:tc>
                <w:tcPr>
                  <w:tcW w:type="dxa" w:w="3238"/>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3238"/>
                </w:tcPr>
                <w:p>
                  <w:r>
                    <w:rPr>
                      <w:rFonts w:ascii="Times New Roman" w:hAnsi="Times New Roman" w:eastAsia="바탕"/>
                      <w:sz w:val="18"/>
                    </w:rPr>
                    <w:t>송민선</w:t>
                  </w:r>
                </w:p>
              </w:tc>
              <w:tc>
                <w:tcPr>
                  <w:tcW w:type="dxa" w:w="3238"/>
                </w:tcPr>
                <w:p>
                  <w:r>
                    <w:rPr>
                      <w:rFonts w:ascii="Times New Roman" w:hAnsi="Times New Roman" w:eastAsia="바탕"/>
                      <w:sz w:val="18"/>
                    </w:rPr>
                    <w:t>건양대학교</w:t>
                  </w:r>
                </w:p>
              </w:tc>
              <w:tc>
                <w:tcPr>
                  <w:tcW w:type="dxa" w:w="3238"/>
                </w:tcPr>
                <w:p>
                  <w:r>
                    <w:rPr>
                      <w:rFonts w:ascii="Times New Roman" w:hAnsi="Times New Roman" w:eastAsia="바탕"/>
                      <w:sz w:val="18"/>
                    </w:rPr>
                    <w:t>환자와 보호자가 동시에 이해할 수 있도록 구성해야 합니다.</w:t>
                  </w:r>
                </w:p>
              </w:tc>
            </w:tr>
            <w:tr>
              <w:tc>
                <w:tcPr>
                  <w:tcW w:type="dxa" w:w="3238"/>
                </w:tcPr>
                <w:p>
                  <w:r>
                    <w:rPr>
                      <w:rFonts w:ascii="Times New Roman" w:hAnsi="Times New Roman" w:eastAsia="바탕"/>
                      <w:sz w:val="18"/>
                    </w:rPr>
                    <w:t>박남수</w:t>
                  </w:r>
                </w:p>
              </w:tc>
              <w:tc>
                <w:tcPr>
                  <w:tcW w:type="dxa" w:w="3238"/>
                </w:tcPr>
                <w:p>
                  <w:r>
                    <w:rPr>
                      <w:rFonts w:ascii="Times New Roman" w:hAnsi="Times New Roman" w:eastAsia="바탕"/>
                      <w:sz w:val="18"/>
                    </w:rPr>
                    <w:t>협성대학교</w:t>
                  </w:r>
                </w:p>
              </w:tc>
              <w:tc>
                <w:tcPr>
                  <w:tcW w:type="dxa" w:w="3238"/>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이용한</w:t>
                  </w:r>
                </w:p>
              </w:tc>
              <w:tc>
                <w:tcPr>
                  <w:tcW w:type="dxa" w:w="3238"/>
                </w:tcPr>
                <w:p>
                  <w:r>
                    <w:rPr>
                      <w:rFonts w:ascii="Times New Roman" w:hAnsi="Times New Roman" w:eastAsia="바탕"/>
                      <w:sz w:val="18"/>
                    </w:rPr>
                    <w:t>한국공예디자인문화진흥원</w:t>
                  </w:r>
                </w:p>
              </w:tc>
              <w:tc>
                <w:tcPr>
                  <w:tcW w:type="dxa" w:w="3238"/>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3238"/>
                </w:tcPr>
                <w:p>
                  <w:r>
                    <w:rPr>
                      <w:rFonts w:ascii="Times New Roman" w:hAnsi="Times New Roman" w:eastAsia="바탕"/>
                      <w:sz w:val="18"/>
                    </w:rPr>
                    <w:t>최묘정</w:t>
                  </w:r>
                </w:p>
              </w:tc>
              <w:tc>
                <w:tcPr>
                  <w:tcW w:type="dxa" w:w="3238"/>
                </w:tcPr>
                <w:p>
                  <w:r>
                    <w:rPr>
                      <w:rFonts w:ascii="Times New Roman" w:hAnsi="Times New Roman" w:eastAsia="바탕"/>
                      <w:sz w:val="18"/>
                    </w:rPr>
                    <w:t>한국장애인개발원</w:t>
                  </w:r>
                </w:p>
              </w:tc>
              <w:tc>
                <w:tcPr>
                  <w:tcW w:type="dxa" w:w="3238"/>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김은경</w:t>
                  </w:r>
                </w:p>
              </w:tc>
              <w:tc>
                <w:tcPr>
                  <w:tcW w:type="dxa" w:w="3238"/>
                </w:tcPr>
                <w:p>
                  <w:r>
                    <w:rPr>
                      <w:rFonts w:ascii="Times New Roman" w:hAnsi="Times New Roman" w:eastAsia="바탕"/>
                      <w:sz w:val="18"/>
                    </w:rPr>
                    <w:t>국립공주대학교</w:t>
                  </w:r>
                </w:p>
              </w:tc>
              <w:tc>
                <w:tcPr>
                  <w:tcW w:type="dxa" w:w="3238"/>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E. A. Draffan</w:t>
                  </w:r>
                </w:p>
              </w:tc>
              <w:tc>
                <w:tcPr>
                  <w:tcW w:type="dxa" w:w="3238"/>
                </w:tcPr>
                <w:p>
                  <w:r>
                    <w:rPr>
                      <w:rFonts w:ascii="Times New Roman" w:hAnsi="Times New Roman" w:eastAsia="바탕"/>
                      <w:sz w:val="18"/>
                    </w:rPr>
                    <w:t>Global Symbols · Univ. of Southampton</w:t>
                  </w:r>
                </w:p>
              </w:tc>
              <w:tc>
                <w:tcPr>
                  <w:tcW w:type="dxa" w:w="3238"/>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응답자</w:t>
                  </w:r>
                </w:p>
              </w:tc>
              <w:tc>
                <w:tcPr>
                  <w:tcW w:type="dxa" w:w="3238"/>
                  <w:shd w:val="clear" w:fill="F2F2F2"/>
                </w:tcPr>
                <w:p>
                  <w:r>
                    <w:rPr>
                      <w:rFonts w:ascii="Times New Roman" w:hAnsi="Times New Roman" w:eastAsia="바탕"/>
                      <w:b/>
                      <w:sz w:val="18"/>
                    </w:rPr>
                    <w:t>소속</w:t>
                  </w:r>
                </w:p>
              </w:tc>
              <w:tc>
                <w:tcPr>
                  <w:tcW w:type="dxa" w:w="3238"/>
                  <w:shd w:val="clear" w:fill="F2F2F2"/>
                </w:tcPr>
                <w:p>
                  <w:r>
                    <w:rPr>
                      <w:rFonts w:ascii="Times New Roman" w:hAnsi="Times New Roman" w:eastAsia="바탕"/>
                      <w:b/>
                      <w:sz w:val="18"/>
                    </w:rPr>
                    <w:t>내용</w:t>
                  </w:r>
                </w:p>
              </w:tc>
            </w:tr>
            <w:tr>
              <w:tc>
                <w:tcPr>
                  <w:tcW w:type="dxa" w:w="3238"/>
                </w:tcPr>
                <w:p>
                  <w:r>
                    <w:rPr>
                      <w:rFonts w:ascii="Times New Roman" w:hAnsi="Times New Roman" w:eastAsia="바탕"/>
                      <w:sz w:val="18"/>
                    </w:rPr>
                    <w:t>박철현</w:t>
                  </w:r>
                </w:p>
              </w:tc>
              <w:tc>
                <w:tcPr>
                  <w:tcW w:type="dxa" w:w="3238"/>
                </w:tcPr>
                <w:p>
                  <w:r>
                    <w:rPr>
                      <w:rFonts w:ascii="Times New Roman" w:hAnsi="Times New Roman" w:eastAsia="바탕"/>
                      <w:sz w:val="18"/>
                    </w:rPr>
                    <w:t>보이스아이</w:t>
                  </w:r>
                </w:p>
              </w:tc>
              <w:tc>
                <w:tcPr>
                  <w:tcW w:type="dxa" w:w="3238"/>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sz w:val="20"/>
              </w:rPr>
              <w:t>&lt;!-- 부록 끝 --&gt;</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