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begins with the harshest of these conditions, non-literacy, where the instruction never arrives at all (§1.1 to §1.3).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One discrepancy in the numbers inside this document should be stated as well. Gutierrez et al. in Table 6 counted and tested the USP set as 82 symbols, and this section says 81. The set may have grown or shrunk over time, but we could not confirm at a primary source which figure belongs to which date. Each source's own count has therefore been left as it stands. A difference of one does not change the argument of this section or of Table 6.</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after="80" w:line="276" w:lineRule="auto"/>
              <w:jc w:val="both"/>
            </w:pPr>
            <w:r>
              <w:rPr>
                <w:rFonts w:ascii="Times New Roman" w:hAnsi="Times New Roman" w:eastAsia="바탕"/>
                <w:sz w:val="20"/>
              </w:rPr>
              <w:t>Once the target is widened in the next section, the Korean half of this section's argument grows heavier rather than lighter. The grounds given for calling it invisible are that 18 of the 39 respondents in §5.7 said they scarcely meet such patients, and that is an answer about patients who cannot read. The conditions §1.13 adds are counted even less than those. Health literacy at least has a figure of 39.6%, whereas we found no statistic within the range of this document that counts people too worn out to take medicine on time, or people who cannot remember whether they took last night's dose. Nor does that arrive in a consulting room as a diagnosis. Saying that this problem is invisible in Korea becomes truer the further the target is widened.</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 containment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containment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Concrete pictogram forms (§2.2), the confirming step (§3.8)</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Thyroid dysfunction</w:t>
                  </w:r>
                </w:p>
              </w:tc>
              <w:tc>
                <w:tcPr>
                  <w:tcW w:type="dxa" w:w="2441"/>
                </w:tcPr>
                <w:p>
                  <w:r>
                    <w:rPr>
                      <w:rFonts w:ascii="Times New Roman" w:hAnsi="Times New Roman" w:eastAsia="바탕"/>
                      <w:sz w:val="18"/>
                    </w:rPr>
                    <w:t>The drug is not absorbed unless the timing is kept</w:t>
                  </w:r>
                </w:p>
              </w:tc>
              <w:tc>
                <w:tcPr>
                  <w:tcW w:type="dxa" w:w="2441"/>
                </w:tcPr>
                <w:p>
                  <w:r>
                    <w:rPr>
                      <w:rFonts w:ascii="Consolas" w:hAnsi="Consolas" w:eastAsia="Consolas"/>
                      <w:sz w:val="17"/>
                    </w:rPr>
                    <w:t>time_morning</w:t>
                  </w:r>
                  <w:r>
                    <w:rPr>
                      <w:rFonts w:ascii="Times New Roman" w:hAnsi="Times New Roman" w:eastAsia="바탕"/>
                      <w:sz w:val="18"/>
                    </w:rPr>
                    <w:t xml:space="preserve"> and </w:t>
                  </w:r>
                  <w:r>
                    <w:rPr>
                      <w:rFonts w:ascii="Consolas" w:hAnsi="Consolas" w:eastAsia="Consolas"/>
                      <w:sz w:val="17"/>
                    </w:rPr>
                    <w:t>food_empty_bowl</w:t>
                  </w:r>
                  <w:r>
                    <w:rPr>
                      <w:rFonts w:ascii="Times New Roman" w:hAnsi="Times New Roman" w:eastAsia="바탕"/>
                      <w:sz w:val="18"/>
                    </w:rPr>
                    <w:t xml:space="preserve"> draw "morning, empty stomach" (§2.2). The box dispenses only within a dose window (§4.3). No morpheme among the 78, however, means "keep this many hours apart from that"</w:t>
                  </w:r>
                </w:p>
              </w:tc>
              <w:tc>
                <w:tcPr>
                  <w:tcW w:type="dxa" w:w="2441"/>
                </w:tcPr>
                <w:p>
                  <w:r>
                    <w:rPr>
                      <w:rFonts w:ascii="Times New Roman" w:hAnsi="Times New Roman" w:eastAsia="바탕"/>
                      <w:sz w:val="18"/>
                    </w:rPr>
                    <w:t xml:space="preserve">107 articles and 128 studies on interfering substances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medicine stays inside the box and is dispensed only within a dose window (§4.3). A child lock as such was not built</w:t>
                  </w:r>
                </w:p>
              </w:tc>
              <w:tc>
                <w:tcPr>
                  <w:tcW w:type="dxa" w:w="2441"/>
                </w:tcPr>
                <w:p>
                  <w:r>
                    <w:rPr>
                      <w:rFonts w:ascii="Times New Roman" w:hAnsi="Times New Roman" w:eastAsia="바탕"/>
                      <w:sz w:val="18"/>
                    </w:rPr>
                    <w:t>Mechanism shared only. We did not measure it</w:t>
                  </w:r>
                </w:p>
              </w:tc>
            </w:tr>
          </w:tbl>
          <w:p/>
          <w:p>
            <w:pPr>
              <w:spacing w:after="120"/>
            </w:pPr>
          </w:p>
          <w:p>
            <w:pPr>
              <w:spacing w:after="80" w:line="276" w:lineRule="auto"/>
              <w:jc w:val="both"/>
            </w:pPr>
            <w:r>
              <w:rPr>
                <w:rFonts w:ascii="Times New Roman" w:hAnsi="Times New Roman" w:eastAsia="바탕"/>
                <w:sz w:val="20"/>
              </w:rPr>
              <w:t xml:space="preserve">Thyroid dysfunction differs in character from the other conditions in the table, so it is treated separately. For the others the problem is that the instruction does not arrive; for this one, even when the instruction arrives, the drug is not absorbed unless the timing is kept. The routine is itself a condition of the drug working. A systematic review gathering what interferes with the bioavailability of levothyroxine lists calcium and iron supplements, proton pump inhibitors, bile acid sequestrants, phosphate binders, sex hormones, anticonvulsants, and food and drink, and among the remedies the authors give is separating the times at which these are taken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The authors also record that most of the included studies were of moderate quality and that better designed studies are needed.</w:t>
            </w:r>
          </w:p>
          <w:p>
            <w:pPr>
              <w:spacing w:after="80" w:line="276" w:lineRule="auto"/>
              <w:jc w:val="both"/>
            </w:pPr>
            <w:r>
              <w:rPr>
                <w:rFonts w:ascii="Times New Roman" w:hAnsi="Times New Roman" w:eastAsia="바탕"/>
                <w:sz w:val="20"/>
              </w:rPr>
              <w:t xml:space="preserve">This condition exposes one limit of our set. With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food_empty_bowl</w:t>
            </w:r>
            <w:r>
              <w:rPr>
                <w:rFonts w:ascii="Times New Roman" w:hAnsi="Times New Roman" w:eastAsia="바탕"/>
                <w:sz w:val="20"/>
              </w:rPr>
              <w:t xml:space="preserve"> the instruction "in the morning, on an empty stomach" can be drawn, but nowhere among the 78 morphemes is there one meaning "keep this many hours apart from that". Pointing at a time and pointing at the interval between two times are different jobs, and our grammar has only the first. This is a defect we learned of by widening the target, and it belongs to stage 5 of §5.10.</w:t>
            </w:r>
          </w:p>
          <w:p>
            <w:pPr>
              <w:spacing w:after="80" w:line="276" w:lineRule="auto"/>
              <w:jc w:val="both"/>
            </w:pPr>
            <w:r>
              <w:rPr>
                <w:rFonts w:ascii="Times New Roman" w:hAnsi="Times New Roman" w:eastAsia="바탕"/>
                <w:sz w:val="20"/>
              </w:rPr>
              <w:t>The last column of that table matters most in this section. Seven conditions have data we checked at source, four have only a shared mechanism, and one is not taken as a target.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That principle is the design standard fixed in §1.13 carried onto the screen. Because the standard sits at the harshest condition, only one set of screens is built. There is no separate set for people who can read and another for people who cannot; the latter alone covers both. That is why no accessibility mode or simplified view appears anywhere in this document. A mode switch works only for someone who knows it has to be turned on, and if that has to be read to be known, it is already too late.</w:t>
            </w:r>
          </w:p>
          <w:p>
            <w:pPr>
              <w:spacing w:after="80" w:line="276" w:lineRule="auto"/>
              <w:jc w:val="both"/>
            </w:pPr>
            <w:r>
              <w:rPr>
                <w:rFonts w:ascii="Times New Roman" w:hAnsi="Times New Roman" w:eastAsia="바탕"/>
                <w:sz w:val="20"/>
              </w:rPr>
              <w:t>The same principle carries beyond reading. What was removed to demand no letters was a demand on memory and attention as well. With the hierarchy gone there is nothing to hold in mind about how far down one has come; with the steps gone there is nothing to count about what has already been done; with the options gone there is nothing to keep hold of about what is being asked right now. Those three sentences are the grounds on which Table 7 of §1.13 claims that one screen covers eleven conditions.</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Item</w:t>
                  </w:r>
                </w:p>
              </w:tc>
              <w:tc>
                <w:tcPr>
                  <w:tcW w:type="dxa" w:w="1953"/>
                  <w:shd w:val="clear" w:fill="F2F2F2"/>
                </w:tcPr>
                <w:p>
                  <w:r>
                    <w:rPr>
                      <w:rFonts w:ascii="Times New Roman" w:hAnsi="Times New Roman" w:eastAsia="바탕"/>
                      <w:b/>
                      <w:sz w:val="18"/>
                    </w:rPr>
                    <w:t>General health app</w:t>
                  </w:r>
                </w:p>
              </w:tc>
              <w:tc>
                <w:tcPr>
                  <w:tcW w:type="dxa" w:w="1953"/>
                  <w:shd w:val="clear" w:fill="F2F2F2"/>
                </w:tcPr>
                <w:p>
                  <w:r>
                    <w:rPr>
                      <w:rFonts w:ascii="Times New Roman" w:hAnsi="Times New Roman" w:eastAsia="바탕"/>
                      <w:b/>
                      <w:sz w:val="18"/>
                    </w:rPr>
                    <w:t>Medication reminder app</w:t>
                  </w:r>
                </w:p>
              </w:tc>
              <w:tc>
                <w:tcPr>
                  <w:tcW w:type="dxa" w:w="1953"/>
                  <w:shd w:val="clear" w:fill="F2F2F2"/>
                </w:tcPr>
                <w:p>
                  <w:r>
                    <w:rPr>
                      <w:rFonts w:ascii="Times New Roman" w:hAnsi="Times New Roman" w:eastAsia="바탕"/>
                      <w:b/>
                      <w:sz w:val="18"/>
                    </w:rPr>
                    <w:t>USP pictogram standard</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Input</w:t>
                  </w:r>
                </w:p>
              </w:tc>
              <w:tc>
                <w:tcPr>
                  <w:tcW w:type="dxa" w:w="1953"/>
                </w:tcPr>
                <w:p>
                  <w:r>
                    <w:rPr>
                      <w:rFonts w:ascii="Times New Roman" w:hAnsi="Times New Roman" w:eastAsia="바탕"/>
                      <w:sz w:val="18"/>
                    </w:rPr>
                    <w:t>Typing and search</w:t>
                  </w:r>
                </w:p>
              </w:tc>
              <w:tc>
                <w:tcPr>
                  <w:tcW w:type="dxa" w:w="1953"/>
                </w:tcPr>
                <w:p>
                  <w:r>
                    <w:rPr>
                      <w:rFonts w:ascii="Times New Roman" w:hAnsi="Times New Roman" w:eastAsia="바탕"/>
                      <w:sz w:val="18"/>
                    </w:rPr>
                    <w:t>The person types in medicine name, dose and time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One photograph</w:t>
                  </w:r>
                </w:p>
              </w:tc>
            </w:tr>
            <w:tr>
              <w:tc>
                <w:tcPr>
                  <w:tcW w:type="dxa" w:w="1953"/>
                </w:tcPr>
                <w:p>
                  <w:r>
                    <w:rPr>
                      <w:rFonts w:ascii="Times New Roman" w:hAnsi="Times New Roman" w:eastAsia="바탕"/>
                      <w:sz w:val="18"/>
                    </w:rPr>
                    <w:t>Output</w:t>
                  </w:r>
                </w:p>
              </w:tc>
              <w:tc>
                <w:tcPr>
                  <w:tcW w:type="dxa" w:w="1953"/>
                </w:tcPr>
                <w:p>
                  <w:r>
                    <w:rPr>
                      <w:rFonts w:ascii="Times New Roman" w:hAnsi="Times New Roman" w:eastAsia="바탕"/>
                      <w:sz w:val="18"/>
                    </w:rPr>
                    <w:t>Mostly text</w:t>
                  </w:r>
                </w:p>
              </w:tc>
              <w:tc>
                <w:tcPr>
                  <w:tcW w:type="dxa" w:w="1953"/>
                </w:tcPr>
                <w:p>
                  <w:r>
                    <w:rPr>
                      <w:rFonts w:ascii="Times New Roman" w:hAnsi="Times New Roman" w:eastAsia="바탕"/>
                      <w:sz w:val="18"/>
                    </w:rPr>
                    <w:t>Notification text</w:t>
                  </w:r>
                </w:p>
              </w:tc>
              <w:tc>
                <w:tcPr>
                  <w:tcW w:type="dxa" w:w="1953"/>
                </w:tcPr>
                <w:p>
                  <w:r>
                    <w:rPr>
                      <w:rFonts w:ascii="Times New Roman" w:hAnsi="Times New Roman" w:eastAsia="바탕"/>
                      <w:sz w:val="18"/>
                    </w:rPr>
                    <w:t>81 static pictures</w:t>
                  </w:r>
                </w:p>
              </w:tc>
              <w:tc>
                <w:tcPr>
                  <w:tcW w:type="dxa" w:w="1953"/>
                </w:tcPr>
                <w:p>
                  <w:r>
                    <w:rPr>
                      <w:rFonts w:ascii="Times New Roman" w:hAnsi="Times New Roman" w:eastAsia="바탕"/>
                      <w:sz w:val="18"/>
                    </w:rPr>
                    <w:t>Composed pictogram + speech + colour</w:t>
                  </w:r>
                </w:p>
              </w:tc>
            </w:tr>
            <w:tr>
              <w:tc>
                <w:tcPr>
                  <w:tcW w:type="dxa" w:w="1953"/>
                </w:tcPr>
                <w:p>
                  <w:r>
                    <w:rPr>
                      <w:rFonts w:ascii="Times New Roman" w:hAnsi="Times New Roman" w:eastAsia="바탕"/>
                      <w:sz w:val="18"/>
                    </w:rPr>
                    <w:t>What it answers</w:t>
                  </w:r>
                </w:p>
              </w:tc>
              <w:tc>
                <w:tcPr>
                  <w:tcW w:type="dxa" w:w="1953"/>
                </w:tcPr>
                <w:p>
                  <w:r>
                    <w:rPr>
                      <w:rFonts w:ascii="Times New Roman" w:hAnsi="Times New Roman" w:eastAsia="바탕"/>
                      <w:sz w:val="18"/>
                    </w:rPr>
                    <w:t>Information for a search term</w:t>
                  </w:r>
                </w:p>
              </w:tc>
              <w:tc>
                <w:tcPr>
                  <w:tcW w:type="dxa" w:w="1953"/>
                </w:tcPr>
                <w:p>
                  <w:r>
                    <w:rPr>
                      <w:rFonts w:ascii="Times New Roman" w:hAnsi="Times New Roman" w:eastAsia="바탕"/>
                      <w:sz w:val="18"/>
                    </w:rPr>
                    <w:t>When</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What, how much, when, and what to avoid</w:t>
                  </w:r>
                </w:p>
              </w:tc>
            </w:tr>
            <w:tr>
              <w:tc>
                <w:tcPr>
                  <w:tcW w:type="dxa" w:w="1953"/>
                </w:tcPr>
                <w:p>
                  <w:r>
                    <w:rPr>
                      <w:rFonts w:ascii="Times New Roman" w:hAnsi="Times New Roman" w:eastAsia="바탕"/>
                      <w:sz w:val="18"/>
                    </w:rPr>
                    <w:t>Combination</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Prohibited by licence</w:t>
                  </w:r>
                </w:p>
              </w:tc>
              <w:tc>
                <w:tcPr>
                  <w:tcW w:type="dxa" w:w="1953"/>
                </w:tcPr>
                <w:p>
                  <w:r>
                    <w:rPr>
                      <w:rFonts w:ascii="Times New Roman" w:hAnsi="Times New Roman" w:eastAsia="바탕"/>
                      <w:sz w:val="18"/>
                    </w:rPr>
                    <w:t>Combined by grammar</w:t>
                  </w:r>
                </w:p>
              </w:tc>
            </w:tr>
            <w:tr>
              <w:tc>
                <w:tcPr>
                  <w:tcW w:type="dxa" w:w="1953"/>
                </w:tcPr>
                <w:p>
                  <w:r>
                    <w:rPr>
                      <w:rFonts w:ascii="Times New Roman" w:hAnsi="Times New Roman" w:eastAsia="바탕"/>
                      <w:sz w:val="18"/>
                    </w:rPr>
                    <w:t>Verdict threshold</w:t>
                  </w:r>
                </w:p>
              </w:tc>
              <w:tc>
                <w:tcPr>
                  <w:tcW w:type="dxa" w:w="1953"/>
                </w:tcPr>
                <w:p>
                  <w:r>
                    <w:rPr>
                      <w:rFonts w:ascii="Times New Roman" w:hAnsi="Times New Roman" w:eastAsia="바탕"/>
                      <w:sz w:val="18"/>
                    </w:rPr>
                    <w:t>Fixed table or 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Derived from personal energy requirement</w:t>
                  </w:r>
                </w:p>
              </w:tc>
            </w:tr>
            <w:tr>
              <w:tc>
                <w:tcPr>
                  <w:tcW w:type="dxa" w:w="1953"/>
                </w:tcPr>
                <w:p>
                  <w:r>
                    <w:rPr>
                      <w:rFonts w:ascii="Times New Roman" w:hAnsi="Times New Roman" w:eastAsia="바탕"/>
                      <w:sz w:val="18"/>
                    </w:rPr>
                    <w:t>Assumption</w:t>
                  </w:r>
                </w:p>
              </w:tc>
              <w:tc>
                <w:tcPr>
                  <w:tcW w:type="dxa" w:w="1953"/>
                </w:tcPr>
                <w:p>
                  <w:r>
                    <w:rPr>
                      <w:rFonts w:ascii="Times New Roman" w:hAnsi="Times New Roman" w:eastAsia="바탕"/>
                      <w:sz w:val="18"/>
                    </w:rPr>
                    <w:t>User knows their diagnosis</w:t>
                  </w:r>
                </w:p>
              </w:tc>
              <w:tc>
                <w:tcPr>
                  <w:tcW w:type="dxa" w:w="1953"/>
                </w:tcPr>
                <w:p>
                  <w:r>
                    <w:rPr>
                      <w:rFonts w:ascii="Times New Roman" w:hAnsi="Times New Roman" w:eastAsia="바탕"/>
                      <w:sz w:val="18"/>
                    </w:rPr>
                    <w:t>User can read a prescription and copy it across</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Neither diagnosis nor reading assumed</w:t>
                  </w:r>
                </w:p>
              </w:tc>
            </w:tr>
            <w:tr>
              <w:tc>
                <w:tcPr>
                  <w:tcW w:type="dxa" w:w="1953"/>
                </w:tcPr>
                <w:p>
                  <w:r>
                    <w:rPr>
                      <w:rFonts w:ascii="Times New Roman" w:hAnsi="Times New Roman" w:eastAsia="바탕"/>
                      <w:sz w:val="18"/>
                    </w:rPr>
                    <w:t>Adherence record</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The person taps to say so</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Also comes from a paired box's dispense log</w:t>
                  </w:r>
                </w:p>
              </w:tc>
            </w:tr>
            <w:tr>
              <w:tc>
                <w:tcPr>
                  <w:tcW w:type="dxa" w:w="1953"/>
                </w:tcPr>
                <w:p>
                  <w:r>
                    <w:rPr>
                      <w:rFonts w:ascii="Times New Roman" w:hAnsi="Times New Roman" w:eastAsia="바탕"/>
                      <w:sz w:val="18"/>
                    </w:rPr>
                    <w:t>Comprehension check</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Only post hoc studies</w:t>
                  </w:r>
                </w:p>
              </w:tc>
              <w:tc>
                <w:tcPr>
                  <w:tcW w:type="dxa" w:w="1953"/>
                </w:tcPr>
                <w:p>
                  <w:r>
                    <w:rPr>
                      <w:rFonts w:ascii="Times New Roman" w:hAnsi="Times New Roman" w:eastAsia="바탕"/>
                      <w:sz w:val="18"/>
                    </w:rPr>
                    <w:t>Measured automatically before release</w:t>
                  </w:r>
                </w:p>
              </w:tc>
            </w:tr>
            <w:tr>
              <w:tc>
                <w:tcPr>
                  <w:tcW w:type="dxa" w:w="1953"/>
                </w:tcPr>
                <w:p>
                  <w:r>
                    <w:rPr>
                      <w:rFonts w:ascii="Times New Roman" w:hAnsi="Times New Roman" w:eastAsia="바탕"/>
                      <w:sz w:val="18"/>
                    </w:rPr>
                    <w:t>Network</w:t>
                  </w:r>
                </w:p>
              </w:tc>
              <w:tc>
                <w:tcPr>
                  <w:tcW w:type="dxa" w:w="1953"/>
                </w:tcPr>
                <w:p>
                  <w:r>
                    <w:rPr>
                      <w:rFonts w:ascii="Times New Roman" w:hAnsi="Times New Roman" w:eastAsia="바탕"/>
                      <w:sz w:val="18"/>
                    </w:rPr>
                    <w:t>Required</w:t>
                  </w:r>
                </w:p>
              </w:tc>
              <w:tc>
                <w:tcPr>
                  <w:tcW w:type="dxa" w:w="1953"/>
                </w:tcPr>
                <w:p>
                  <w:r>
                    <w:rPr>
                      <w:rFonts w:ascii="Times New Roman" w:hAnsi="Times New Roman" w:eastAsia="바탕"/>
                      <w:sz w:val="18"/>
                    </w:rPr>
                    <w:t>Notification on device</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middle column was added because §1.13 widened the target. The moment one speaks of people who find it hard to take medicine as directed, what stands immediately alongside is the medication reminder app, and without setting down how this differs from that category, the proposal reads as one more reminder app.</w:t>
            </w:r>
          </w:p>
          <w:p>
            <w:pPr>
              <w:spacing w:after="80" w:line="276" w:lineRule="auto"/>
              <w:jc w:val="both"/>
            </w:pPr>
            <w:r>
              <w:rPr>
                <w:rFonts w:ascii="Times New Roman" w:hAnsi="Times New Roman" w:eastAsia="바탕"/>
                <w:sz w:val="20"/>
              </w:rPr>
              <w:t xml:space="preserve">There is work that actually counted that category. Across two app stores, 272 medication reminder apps were found and scored against seventeen desirable features: the median number of features per app was 3.0 (interquartile range 4.0), and only 18 apps had nine or more. The most common features were flexible scheduling at 56.3% (153/272), medication tracking history at 54.8% (149/272), a snooze option at 34.9% (95/272), and </w:t>
            </w:r>
            <w:r>
              <w:rPr>
                <w:rFonts w:ascii="Times New Roman" w:hAnsi="Times New Roman" w:eastAsia="바탕"/>
                <w:b/>
                <w:sz w:val="20"/>
              </w:rPr>
              <w:t>visual aids at 32.4% (88/272)</w:t>
            </w:r>
            <w:r>
              <w:rPr>
                <w:rFonts w:ascii="Times New Roman" w:hAnsi="Times New Roman" w:eastAsia="바탕"/>
                <w:sz w:val="20"/>
              </w:rPr>
              <w:t xml:space="preserve">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Two things go with those figures: it is from 2016 and from Australian app stores, so it cannot be said to describe the category today, and we found no more recent census than this.</w:t>
            </w:r>
          </w:p>
          <w:p>
            <w:pPr>
              <w:spacing w:after="80" w:line="276" w:lineRule="auto"/>
              <w:jc w:val="both"/>
            </w:pPr>
            <w:r>
              <w:rPr>
                <w:rFonts w:ascii="Times New Roman" w:hAnsi="Times New Roman" w:eastAsia="바탕"/>
                <w:sz w:val="20"/>
              </w:rPr>
              <w:t>Even so, what the middle column states is a difference in kind rather than in number of features. A reminder app works only after the user has typed in the medicine name, the dose and the time, which is to assume that a prescription can be read and copied across. The person this document has dealt with since §1.1 does not meet that assumption, and the people added in §1.13 are in conditions where that copying across is itself the burden. And what a reminder app answers is when, one thing, whereas the errors shown in Table 4 of §1.3 cluster into three: what, how much and when.</w:t>
            </w:r>
          </w:p>
          <w:p>
            <w:pPr>
              <w:spacing w:after="80" w:line="276" w:lineRule="auto"/>
              <w:jc w:val="both"/>
            </w:pPr>
            <w:r>
              <w:rPr>
                <w:rFonts w:ascii="Times New Roman" w:hAnsi="Times New Roman" w:eastAsia="바탕"/>
                <w:sz w:val="20"/>
              </w:rPr>
              <w:t>The heaviest row in the table is the fourth,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Choosing text size and setting a picture key</w:t>
                  </w:r>
                </w:p>
              </w:tc>
              <w:tc>
                <w:tcPr>
                  <w:tcW w:type="dxa" w:w="2429"/>
                </w:tcPr>
                <w:p>
                  <w:r>
                    <w:rPr>
                      <w:rFonts w:ascii="Times New Roman" w:hAnsi="Times New Roman" w:eastAsia="바탕"/>
                      <w:sz w:val="18"/>
                    </w:rPr>
                    <w:t>Press the line you can read, tap four pictures in order</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asks two things and then goes straight to a screen that does something. It asks for a text size and it sets a picture key. The text size is settled by one action, "tap the smallest line you can read". Rather than reading the names of sizes and choosing among them, the user answers by tapping what is in fact legible, which is the structure of an eye chart.</w:t>
            </w:r>
          </w:p>
          <w:p>
            <w:pPr>
              <w:spacing w:after="80" w:line="276" w:lineRule="auto"/>
              <w:jc w:val="both"/>
            </w:pPr>
            <w:r>
              <w:rPr>
                <w:rFonts w:ascii="Times New Roman" w:hAnsi="Times New Roman" w:eastAsia="바탕"/>
                <w:sz w:val="20"/>
              </w:rPr>
              <w:t>Five guide cards used to stand between those two steps, and they were removed. Four of the five are already said by the screens themselves. The camera is the largest circle in the middle of the home screen; the verdict colour is shown as colour by the verdict screen; that it is judged for you is said by the person satellite and its badge; and reminders are offered on the spot when a prescription is photographed. To explain again what has been built so as to need no explanation is to say one does not believe in the building. And for the users of this app five slides are a wall to climb before starting, when those five slides were the first screen of an app that says it demands no reading.</w:t>
            </w:r>
          </w:p>
          <w:p>
            <w:pPr>
              <w:spacing w:after="80" w:line="276" w:lineRule="auto"/>
              <w:jc w:val="both"/>
            </w:pPr>
            <w:r>
              <w:rPr>
                <w:rFonts w:ascii="Times New Roman" w:hAnsi="Times New Roman" w:eastAsia="바탕"/>
                <w:sz w:val="20"/>
              </w:rPr>
              <w:t>The remaining one could not be removed. The gesture of pressing and holding text to hear it (§3.5) appears nowhere on screen. The read-aloud button in the bottom bar reads the whole screen, so sound itself is not blocked, but hearing one line again is only possible through that gesture, and wanting to hear one medicine name or one dose time again is exactly that case. So instead of removing it, it was moved to where it is used. It appears once on first arrival at the verdict screen and does not appear again. That is the first place the gesture is actually useful, and what has been learned can be tried on that same screen.</w:t>
            </w:r>
          </w:p>
          <w:p>
            <w:pPr>
              <w:spacing w:after="80" w:line="276" w:lineRule="auto"/>
              <w:jc w:val="both"/>
            </w:pPr>
            <w:r>
              <w:rPr>
                <w:rFonts w:ascii="Times New Roman" w:hAnsi="Times New Roman" w:eastAsia="바탕"/>
                <w:sz w:val="20"/>
              </w:rPr>
              <w:t>Measuring these two screens with the accessibility sweep of §4.4 caught one thing. The text-size screen has no point that reaches sound at all: no read-aloud button, no marker for sweeping to hear, no element wired to speech. What is on the screen is the sentence "tap the smallest line you can read" and five lines of that same sentence at different sizes. On the first screen this app offers to someone opening it for the first time, a person who cannot read has no route to sound.</w:t>
            </w:r>
          </w:p>
          <w:p>
            <w:pPr>
              <w:spacing w:after="80" w:line="276" w:lineRule="auto"/>
              <w:jc w:val="both"/>
            </w:pPr>
            <w:r>
              <w:rPr>
                <w:rFonts w:ascii="Times New Roman" w:hAnsi="Times New Roman" w:eastAsia="바탕"/>
                <w:sz w:val="20"/>
              </w:rPr>
              <w:t>Both why this is recorded as a defect and why the order was kept belong here. The principle of §2.1 is that reading is not required on the path to a judgement, and the instruction on this screen has to be read. The task on this screen, though, is shaped so that it can be answered without reading the instruction. The same sentence stands in five sizes with a pointing finger on the one currently chosen, so there is not much interpretation available other than pressing one of the pressable things. And no choice is a wrong answer: the size chosen can be changed in Settings at any time.</w:t>
            </w:r>
          </w:p>
          <w:p>
            <w:pPr>
              <w:spacing w:after="80" w:line="276" w:lineRule="auto"/>
              <w:jc w:val="both"/>
            </w:pPr>
            <w:r>
              <w:rPr>
                <w:rFonts w:ascii="Times New Roman" w:hAnsi="Times New Roman" w:eastAsia="바탕"/>
                <w:sz w:val="20"/>
              </w:rPr>
              <w:t>Even so, this is a place where we fall short of the standard we set ourselves. What Myojeong Choi, Researcher at the Korea Disabled People's Development Institute, raised in §5.7 was that without spoken guidance at the early steps the later procedure can be blocked, and removing the five guide cards emptied the place in front. Attaching read-aloud to this screen is not difficult and belongs to stage 4 of §5.10.</w:t>
            </w:r>
          </w:p>
          <w:p>
            <w:pPr>
              <w:spacing w:after="80" w:line="276" w:lineRule="auto"/>
              <w:jc w:val="both"/>
            </w:pPr>
            <w:r>
              <w:rPr>
                <w:rFonts w:ascii="Times New Roman" w:hAnsi="Times New Roman" w:eastAsia="바탕"/>
                <w:sz w:val="20"/>
              </w:rPr>
              <w:t>Age and conditions are set on the person screen. That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Text size. Rather than reading the name of a size, the user taps the line that is legible. (b) Picture key. Four of twelve pictures are tapped in order. (c)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It should be stated that our answer to this point has grown weaker since. When this response arrived, five guide cards stood in front of the dialogue and we took them as the answer, and for the reasons set out above those five cards were removed. What remains is that the camera screen falls back to choosing an already-taken photograph when permission is not granted, and that is a provision for after the blockage rather than guidance before it. It also remains true that from the moment the dialogue appears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Thirteen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xml:space="preserve">, </w:t>
            </w:r>
            <w:r>
              <w:rPr>
                <w:rFonts w:ascii="Consolas" w:hAnsi="Consolas" w:eastAsia="Consolas"/>
                <w:sz w:val="19"/>
              </w:rPr>
              <w:t>/history</w:t>
            </w:r>
            <w:r>
              <w:rPr>
                <w:rFonts w:ascii="Times New Roman" w:hAnsi="Times New Roman" w:eastAsia="바탕"/>
                <w:sz w:val="20"/>
              </w:rPr>
              <w:t xml:space="preserve">, </w:t>
            </w:r>
            <w:r>
              <w:rPr>
                <w:rFonts w:ascii="Consolas" w:hAnsi="Consolas" w:eastAsia="Consolas"/>
                <w:sz w:val="19"/>
              </w:rPr>
              <w:t>/text-size</w:t>
            </w:r>
            <w:r>
              <w:rPr>
                <w:rFonts w:ascii="Times New Roman" w:hAnsi="Times New Roman" w:eastAsia="바탕"/>
                <w:sz w:val="20"/>
              </w:rPr>
              <w:t xml:space="preserve">, </w:t>
            </w:r>
            <w:r>
              <w:rPr>
                <w:rFonts w:ascii="Consolas" w:hAnsi="Consolas" w:eastAsia="Consolas"/>
                <w:sz w:val="19"/>
              </w:rPr>
              <w:t>/login</w:t>
            </w:r>
            <w:r>
              <w:rPr>
                <w:rFonts w:ascii="Times New Roman" w:hAnsi="Times New Roman" w:eastAsia="바탕"/>
                <w:sz w:val="20"/>
              </w:rPr>
              <w:t xml:space="preserve">, </w:t>
            </w:r>
            <w:r>
              <w:rPr>
                <w:rFonts w:ascii="Consolas" w:hAnsi="Consolas" w:eastAsia="Consolas"/>
                <w:sz w:val="19"/>
              </w:rPr>
              <w:t>/camera</w:t>
            </w:r>
            <w:r>
              <w:rPr>
                <w:rFonts w:ascii="Times New Roman" w:hAnsi="Times New Roman" w:eastAsia="바탕"/>
                <w:sz w:val="20"/>
              </w:rPr>
              <w:t xml:space="preserve">, </w:t>
            </w:r>
            <w:r>
              <w:rPr>
                <w:rFonts w:ascii="Consolas" w:hAnsi="Consolas" w:eastAsia="Consolas"/>
                <w:sz w:val="19"/>
              </w:rPr>
              <w:t>/pair</w:t>
            </w:r>
            <w:r>
              <w:rPr>
                <w:rFonts w:ascii="Times New Roman" w:hAnsi="Times New Roman" w:eastAsia="바탕"/>
                <w:sz w:val="20"/>
              </w:rPr>
              <w:t>) were opened at 375 pixels wide and 178 controls counted. No unnamed controls, no horizontal scrolling, and one control below 24 pixels.</w:t>
            </w:r>
          </w:p>
          <w:p>
            <w:pPr>
              <w:spacing w:after="80" w:line="276" w:lineRule="auto"/>
              <w:jc w:val="both"/>
            </w:pPr>
            <w:r>
              <w:rPr>
                <w:rFonts w:ascii="Times New Roman" w:hAnsi="Times New Roman" w:eastAsia="바탕"/>
                <w:sz w:val="20"/>
              </w:rPr>
              <w:t xml:space="preserve">That the list changed once should be recorded. Nine screens were measured at first, </w:t>
            </w:r>
            <w:r>
              <w:rPr>
                <w:rFonts w:ascii="Consolas" w:hAnsi="Consolas" w:eastAsia="Consolas"/>
                <w:sz w:val="19"/>
              </w:rPr>
              <w:t>/onboarding</w:t>
            </w:r>
            <w:r>
              <w:rPr>
                <w:rFonts w:ascii="Times New Roman" w:hAnsi="Times New Roman" w:eastAsia="바탕"/>
                <w:sz w:val="20"/>
              </w:rPr>
              <w:t xml:space="preserve"> among them, and that address disappeared when the five guide cards were removed (§3.2). The sweep did not report this and was measuring a 404 page. The removed screen was taken out of the list and five screens built since were added, making thirteen.</w:t>
            </w:r>
          </w:p>
          <w:p>
            <w:pPr>
              <w:spacing w:after="80" w:line="276" w:lineRule="auto"/>
              <w:jc w:val="both"/>
            </w:pPr>
            <w:r>
              <w:rPr>
                <w:rFonts w:ascii="Times New Roman" w:hAnsi="Times New Roman" w:eastAsia="바탕"/>
                <w:sz w:val="20"/>
              </w:rPr>
              <w:t xml:space="preserve">One false positive from the sweep itself was fixed too. Two unnamed controls were reported on </w:t>
            </w:r>
            <w:r>
              <w:rPr>
                <w:rFonts w:ascii="Consolas" w:hAnsi="Consolas" w:eastAsia="Consolas"/>
                <w:sz w:val="19"/>
              </w:rPr>
              <w:t>/device</w:t>
            </w:r>
            <w:r>
              <w:rPr>
                <w:rFonts w:ascii="Times New Roman" w:hAnsi="Times New Roman" w:eastAsia="바탕"/>
                <w:sz w:val="20"/>
              </w:rPr>
              <w:t xml:space="preserve">, and both were links inside a collapsed </w:t>
            </w:r>
            <w:r>
              <w:rPr>
                <w:rFonts w:ascii="Consolas" w:hAnsi="Consolas" w:eastAsia="Consolas"/>
                <w:sz w:val="19"/>
              </w:rPr>
              <w:t>&lt;details&gt;</w:t>
            </w:r>
            <w:r>
              <w:rPr>
                <w:rFonts w:ascii="Times New Roman" w:hAnsi="Times New Roman" w:eastAsia="바탕"/>
                <w:sz w:val="20"/>
              </w:rPr>
              <w:t xml:space="preserve">. While collapsed, </w:t>
            </w:r>
            <w:r>
              <w:rPr>
                <w:rFonts w:ascii="Consolas" w:hAnsi="Consolas" w:eastAsia="Consolas"/>
                <w:sz w:val="19"/>
              </w:rPr>
              <w:t>innerText</w:t>
            </w:r>
            <w:r>
              <w:rPr>
                <w:rFonts w:ascii="Times New Roman" w:hAnsi="Times New Roman" w:eastAsia="바탕"/>
                <w:sz w:val="20"/>
              </w:rPr>
              <w:t xml:space="preserve"> is empty so they look unnamed, but they are links with text on them, and while collapsed they reach neither the screen nor assistive technology, so they were never something to measure. The sweep was changed to skip inside a collapsed </w:t>
            </w:r>
            <w:r>
              <w:rPr>
                <w:rFonts w:ascii="Consolas" w:hAnsi="Consolas" w:eastAsia="Consolas"/>
                <w:sz w:val="19"/>
              </w:rPr>
              <w:t>&lt;details&gt;</w:t>
            </w:r>
            <w:r>
              <w:rPr>
                <w:rFonts w:ascii="Times New Roman" w:hAnsi="Times New Roman" w:eastAsia="바탕"/>
                <w:sz w:val="20"/>
              </w:rPr>
              <w:t>. As has happened several times elsewhere in this document, a check whose subject is not verified manufactures a defect that is not there.</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The icons on screen are a matter for this section as well. Emoji were used at first and all of them were replaced with drawings of our own. Emoji are not drawn by us, so they look different on every device, and the same pill emoji reads as a different object on Android and on iOS. Their size and optical weight are not ours to set, and placed side by side they put a row of things drawn by different hands on one line.</w:t>
            </w:r>
          </w:p>
          <w:p>
            <w:pPr>
              <w:spacing w:after="80" w:line="276" w:lineRule="auto"/>
              <w:jc w:val="both"/>
            </w:pPr>
            <w:r>
              <w:rPr>
                <w:rFonts w:ascii="Times New Roman" w:hAnsi="Times New Roman" w:eastAsia="바탕"/>
                <w:sz w:val="20"/>
              </w:rPr>
              <w:t>What was settled in replacing them was the filled silhouette, and the grounds for that choice are the argument of this section. A filled circle of radius 29 is 2,629 pixels, while an outlined triangle in the same place is 1,127. Only that difference in mass, more than twofold, survives across a room and remains for someone who cannot tell the colours apart. The thin-line icons now common are the opposite case, because a line is the first thing to go as things get smaller. The device screen already uses the same grammar, so an app that follows it puts box and app in one language.</w:t>
            </w:r>
          </w:p>
          <w:p>
            <w:pPr>
              <w:spacing w:after="80" w:line="276" w:lineRule="auto"/>
              <w:jc w:val="both"/>
            </w:pPr>
            <w:r>
              <w:rPr>
                <w:rFonts w:ascii="Times New Roman" w:hAnsi="Times New Roman" w:eastAsia="바탕"/>
                <w:sz w:val="20"/>
              </w:rPr>
              <w:t xml:space="preserve">There are four rules for drawing. Coordinates are placed only on a 24 grid, </w:t>
            </w:r>
            <w:r>
              <w:rPr>
                <w:rFonts w:ascii="Consolas" w:hAnsi="Consolas" w:eastAsia="Consolas"/>
                <w:sz w:val="19"/>
              </w:rPr>
              <w:t>stroke</w:t>
            </w:r>
            <w:r>
              <w:rPr>
                <w:rFonts w:ascii="Times New Roman" w:hAnsi="Times New Roman" w:eastAsia="바탕"/>
                <w:sz w:val="20"/>
              </w:rPr>
              <w:t xml:space="preserve"> is not used, colour is </w:t>
            </w:r>
            <w:r>
              <w:rPr>
                <w:rFonts w:ascii="Consolas" w:hAnsi="Consolas" w:eastAsia="Consolas"/>
                <w:sz w:val="19"/>
              </w:rPr>
              <w:t>currentColor</w:t>
            </w:r>
            <w:r>
              <w:rPr>
                <w:rFonts w:ascii="Times New Roman" w:hAnsi="Times New Roman" w:eastAsia="바탕"/>
                <w:sz w:val="20"/>
              </w:rPr>
              <w:t xml:space="preserve"> alone, and holes are cut with </w:t>
            </w:r>
            <w:r>
              <w:rPr>
                <w:rFonts w:ascii="Consolas" w:hAnsi="Consolas" w:eastAsia="Consolas"/>
                <w:sz w:val="19"/>
              </w:rPr>
              <w:t>evenodd</w:t>
            </w:r>
            <w:r>
              <w:rPr>
                <w:rFonts w:ascii="Times New Roman" w:hAnsi="Times New Roman" w:eastAsia="바탕"/>
                <w:sz w:val="20"/>
              </w:rPr>
              <w:t>. The second and third join up with other decisions in this app. In an app that changes text size across five steps, wobble in line weight is actually visible, and a colour baked into each drawing leaves the drawings in daylight when the palette goes dark.</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p>
            <w:pPr>
              <w:spacing w:before="180" w:after="40"/>
            </w:pPr>
            <w:r>
              <w:rPr>
                <w:rFonts w:ascii="Times New Roman" w:hAnsi="Times New Roman" w:eastAsia="바탕"/>
                <w:b/>
                <w:sz w:val="23"/>
              </w:rPr>
              <w:t>3.9 Medication routine and the last four weeks</w:t>
            </w:r>
          </w:p>
          <w:p>
            <w:pPr>
              <w:spacing w:after="80" w:line="276" w:lineRule="auto"/>
              <w:jc w:val="both"/>
            </w:pPr>
            <w:r>
              <w:rPr>
                <w:rFonts w:ascii="Times New Roman" w:hAnsi="Times New Roman" w:eastAsia="바탕"/>
                <w:sz w:val="20"/>
              </w:rPr>
              <w:t>The eight preceding sections dealt with a single verdict. Photograph, look, close. What the broadened target of §1.13 lacks, though, is not that single verdict. Unless it is recorded whether last night's dose was taken, whether weekends are the ones that get missed, and when the missing began, no verdict however good will hold a routine together.</w:t>
            </w:r>
          </w:p>
          <w:p>
            <w:pPr>
              <w:spacing w:after="80" w:line="276" w:lineRule="auto"/>
              <w:jc w:val="both"/>
            </w:pPr>
            <w:r>
              <w:rPr>
                <w:rFonts w:ascii="Times New Roman" w:hAnsi="Times New Roman" w:eastAsia="바탕"/>
                <w:sz w:val="20"/>
              </w:rPr>
              <w:t>This app leaves a record with every scan: what was eaten, what it was found to contain at the time, and, where a box has been paired, whether the medicine was taken or missed. The questions that record can answer are the ones actually asked in a consulting room. What did you eat on the day the rash appeared? When did you start missing doses? Human memory does not answer these, and less so for someone who cannot write things down. Yet the only places to look back at that record were four recent lines on the home screen and today's running total on the nutrition screen. It was data piled up and read by no one.</w:t>
            </w:r>
          </w:p>
          <w:p>
            <w:pPr>
              <w:spacing w:after="80" w:line="276" w:lineRule="auto"/>
              <w:jc w:val="both"/>
            </w:pPr>
            <w:r>
              <w:rPr>
                <w:rFonts w:ascii="Times New Roman" w:hAnsi="Times New Roman" w:eastAsia="바탕"/>
                <w:sz w:val="20"/>
              </w:rPr>
              <w:t>The screen has three parts from top to bottom.</w:t>
            </w:r>
          </w:p>
          <w:p>
            <w:pPr>
              <w:spacing w:after="80" w:line="276" w:lineRule="auto"/>
              <w:jc w:val="both"/>
            </w:pPr>
            <w:r>
              <w:rPr>
                <w:rFonts w:ascii="Times New Roman" w:hAnsi="Times New Roman" w:eastAsia="바탕"/>
                <w:sz w:val="20"/>
              </w:rPr>
              <w:t>[Table 23] The parts of the past-days screen and why each sits where it does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What is there</w:t>
                  </w:r>
                </w:p>
              </w:tc>
              <w:tc>
                <w:tcPr>
                  <w:tcW w:type="dxa" w:w="3238"/>
                  <w:shd w:val="clear" w:fill="F2F2F2"/>
                </w:tcPr>
                <w:p>
                  <w:r>
                    <w:rPr>
                      <w:rFonts w:ascii="Times New Roman" w:hAnsi="Times New Roman" w:eastAsia="바탕"/>
                      <w:b/>
                      <w:sz w:val="18"/>
                    </w:rPr>
                    <w:t>Why here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The medication routine as currently set: for each medicine, the next dose time and how many times a day</w:t>
                  </w:r>
                </w:p>
              </w:tc>
              <w:tc>
                <w:tcPr>
                  <w:tcW w:type="dxa" w:w="3238"/>
                </w:tcPr>
                <w:p>
                  <w:r>
                    <w:rPr>
                      <w:rFonts w:ascii="Times New Roman" w:hAnsi="Times New Roman" w:eastAsia="바탕"/>
                      <w:sz w:val="18"/>
                    </w:rPr>
                    <w:t>It has to come before the calendar below. Two empty cells mean a whole day skipped on a twice-daily prescription and one late dose on a five-times-daily one. Without knowing what should have happened, the same picture means different things</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A four-week calendar. One day is one cell and one bar inside a cell is one dose. A filled bar was taken, an outlined bar was missed</w:t>
                  </w:r>
                </w:p>
              </w:tc>
              <w:tc>
                <w:tcPr>
                  <w:tcW w:type="dxa" w:w="3238"/>
                </w:tcPr>
                <w:p>
                  <w:r>
                    <w:rPr>
                      <w:rFonts w:ascii="Times New Roman" w:hAnsi="Times New Roman" w:eastAsia="바탕"/>
                      <w:sz w:val="18"/>
                    </w:rPr>
                    <w:t>One week cannot be read by weekday. Each weekday appears only once, so "it is always the weekend" cannot be told apart from a single coincidence. Over four weeks the same weekday lines up four times, and only then does a vertical column mean something. Beyond that the cells get too small on a phone</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A gauge, showing as the length of a bar how much of the four weeks was filled, split into one row per medicine</w:t>
                  </w:r>
                </w:p>
              </w:tc>
              <w:tc>
                <w:tcPr>
                  <w:tcW w:type="dxa" w:w="3238"/>
                </w:tcPr>
                <w:p>
                  <w:r>
                    <w:rPr>
                      <w:rFonts w:ascii="Times New Roman" w:hAnsi="Times New Roman" w:eastAsia="바탕"/>
                      <w:sz w:val="18"/>
                    </w:rPr>
                    <w:t>The calendar and the gauge answer different questions. The calendar shows which days were missed, the gauge how much of the whole was filled. And one combined number cannot point at what to fix. If ten of eighty-three doses were missed, ten piled onto one medicine means that medicine is the problem while ten scattered across means the habit is, and the two call for different things. The questions asked in a consulting room are per medicine too</w:t>
                  </w:r>
                </w:p>
              </w:tc>
            </w:tr>
          </w:tbl>
          <w:p/>
          <w:p>
            <w:pPr>
              <w:spacing w:after="120"/>
            </w:pPr>
          </w:p>
          <w:p>
            <w:pPr>
              <w:spacing w:after="80" w:line="276" w:lineRule="auto"/>
              <w:jc w:val="both"/>
            </w:pPr>
            <w:r>
              <w:rPr>
                <w:rFonts w:ascii="Times New Roman" w:hAnsi="Times New Roman" w:eastAsia="바탕"/>
                <w:sz w:val="20"/>
              </w:rPr>
              <w:t>Medication is at the top because the urgency differs. Food can be known a day late; medicine has to be known this evening.</w:t>
            </w:r>
          </w:p>
          <w:p>
            <w:pPr>
              <w:spacing w:after="80" w:line="276" w:lineRule="auto"/>
              <w:jc w:val="both"/>
            </w:pPr>
            <w:r>
              <w:rPr>
                <w:rFonts w:ascii="Times New Roman" w:hAnsi="Times New Roman" w:eastAsia="바탕"/>
                <w:sz w:val="20"/>
              </w:rPr>
              <w:t>No percentage is written large on this screen. The number 86% does not arrive for someone who cannot read numbers, and that person is the user this app took as its standard (§1.13). So the same thing is drawn instead. Whether a cell is empty can be counted, and how far a bar has filled can be judged by eye. Neither passes through reading.</w:t>
            </w:r>
          </w:p>
          <w:p>
            <w:pPr>
              <w:spacing w:after="80" w:line="276" w:lineRule="auto"/>
              <w:jc w:val="both"/>
            </w:pPr>
            <w:r>
              <w:rPr>
                <w:rFonts w:ascii="Times New Roman" w:hAnsi="Times New Roman" w:eastAsia="바탕"/>
                <w:sz w:val="20"/>
              </w:rPr>
              <w:t>What groups the gauges is worth noting as well: not the name of a medicine but the tray layer in the box. What the box reports is the layer, and the name is something the app attaches from the prescription, so it may be absent. This machine also stacks its trays in layers, so when the screen speaks in layers that leads straight into opening the box and looking at that layer. The place on the screen and the place the hand reaches point at the same thing.</w:t>
            </w:r>
          </w:p>
          <w:p>
            <w:pPr>
              <w:spacing w:after="80" w:line="276" w:lineRule="auto"/>
              <w:jc w:val="both"/>
            </w:pPr>
            <w:r>
              <w:rPr>
                <w:rFonts w:ascii="Times New Roman" w:hAnsi="Times New Roman" w:eastAsia="바탕"/>
                <w:sz w:val="20"/>
              </w:rPr>
              <w:t>The calendar shows four weeks but the window can be moved. There are two arrows and no date picker, because offering a date picker to someone who came to look at a calendar amounts to handing them a second calendar. Moving forward stops at today. The future is an empty grid, and a button that does nothing when pressed reads as broken. Moving the window does not move the "today" marker, which stays on the real today. If some past day were marked as today on a paged-back screen, that screen would be lying.</w:t>
            </w:r>
          </w:p>
          <w:p>
            <w:pPr>
              <w:spacing w:after="80" w:line="276" w:lineRule="auto"/>
              <w:jc w:val="both"/>
            </w:pPr>
            <w:r>
              <w:rPr>
                <w:rFonts w:ascii="Times New Roman" w:hAnsi="Times New Roman" w:eastAsia="바탕"/>
                <w:sz w:val="20"/>
              </w:rPr>
              <w:t>There is no list laying out the records day by day. There was one and it was taken out. Showing records back one at a time is not what this app does with that data. The calendar, the gauge, what is suspected and how the body responded all come out of it. The list only added twenty-eight more rows on top, and after a few months it becomes a wall nobody scrolls.</w:t>
            </w:r>
          </w:p>
          <w:p>
            <w:pPr>
              <w:spacing w:after="80" w:line="276" w:lineRule="auto"/>
              <w:jc w:val="both"/>
            </w:pPr>
            <w:r>
              <w:rPr>
                <w:rFonts w:ascii="Times New Roman" w:hAnsi="Times New Roman" w:eastAsia="바탕"/>
                <w:sz w:val="20"/>
              </w:rPr>
              <w:t>This is why the screen spans several conditions in Table 7 of §1.13. What someone carrying a load on executive function needs is "what do I take now", and that is the first part. What someone with damage to memory needs is "did I already take it", and that is the second. What the consulting room needs is "when did the missing start", and that is the third. One screen answers three questions, and it was built so that those answers are not obtained by reading. The difference between a filled bar and an empty one is not a letter, and the shape of a column going blank is seen rather than read.</w:t>
            </w:r>
          </w:p>
          <w:p>
            <w:pPr>
              <w:spacing w:after="80" w:line="276" w:lineRule="auto"/>
              <w:jc w:val="both"/>
            </w:pPr>
            <w:r>
              <w:rPr>
                <w:rFonts w:ascii="Times New Roman" w:hAnsi="Times New Roman" w:eastAsia="바탕"/>
                <w:sz w:val="20"/>
              </w:rPr>
              <w:t>The screen does lean on the picture and colour layers of §2.1, with speech carried by the read-aloud button on each card. Medicine names and times do appear as text, and the principle of §2.1 holds here as elsewhere: this app did not erase text from the screen, it removed anything that can only be known by reading. What the calendar conveys is a shape rather than a name.</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The medication routine and the last four weeks. The card at the top is what is currently set; in the calendar one day is one cell and one bar inside a cell is one dose. A filled bar was taken, an outlined one missed. The bars below are the adherence rate per medicine, and the sentence at the bottom puts the same thing into words. Below the red line, scrolling is required.</w:t>
            </w:r>
          </w:p>
          <w:p>
            <w:pPr>
              <w:spacing w:after="80" w:line="276" w:lineRule="auto"/>
              <w:jc w:val="both"/>
            </w:pPr>
            <w:r>
              <w:rPr>
                <w:rFonts w:ascii="Times New Roman" w:hAnsi="Times New Roman" w:eastAsia="바탕"/>
                <w:sz w:val="20"/>
              </w:rPr>
              <w:t>The screen says one more sentence at the end: that of eighty-three doses ten were missed, and the time most often missed was seven in the evening. It was said above that a vertical column in the calendar comes to mean something, and what is read from that column the screen also sends out in words. The three layers of §2.1, where speech remains for someone who could not read the picture, appear on this screen in that form.</w:t>
            </w:r>
          </w:p>
          <w:p>
            <w:pPr>
              <w:spacing w:after="80" w:line="276" w:lineRule="auto"/>
              <w:jc w:val="both"/>
            </w:pPr>
            <w:r>
              <w:rPr>
                <w:rFonts w:ascii="Times New Roman" w:hAnsi="Times New Roman" w:eastAsia="바탕"/>
                <w:sz w:val="20"/>
              </w:rPr>
              <w:t>The limits of this screen are written by the screen itself. The bottom line says that this count comes from the pill box alone and that medicines taken without it are not in the number. A bar fills when a paired box has recorded a dispense or when the user has left a scan, so a dose taken by hand, with no box and no scan, stays recorded as missed. What this calendar measures is not taking medicine but taking medicine through this app. Were that limit written only in this document and hidden on the screen, users would read their own adherence as lower than it is. So it is written on the screen, and the same item is also among the unverified items in §5.9.</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24]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25]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26]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27]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27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27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27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28]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28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 xml:space="preserve">The list of shell paths joining the condition that catches page requests is a correction of the same kind. At first only the request's </w:t>
            </w:r>
            <w:r>
              <w:rPr>
                <w:rFonts w:ascii="Consolas" w:hAnsi="Consolas" w:eastAsia="Consolas"/>
                <w:sz w:val="19"/>
              </w:rPr>
              <w:t>mode</w:t>
            </w:r>
            <w:r>
              <w:rPr>
                <w:rFonts w:ascii="Times New Roman" w:hAnsi="Times New Roman" w:eastAsia="바탕"/>
                <w:sz w:val="20"/>
              </w:rPr>
              <w:t xml:space="preserve"> was checked for </w:t>
            </w:r>
            <w:r>
              <w:rPr>
                <w:rFonts w:ascii="Consolas" w:hAnsi="Consolas" w:eastAsia="Consolas"/>
                <w:sz w:val="19"/>
              </w:rPr>
              <w:t>navigate</w:t>
            </w:r>
            <w:r>
              <w:rPr>
                <w:rFonts w:ascii="Times New Roman" w:hAnsi="Times New Roman" w:eastAsia="바탕"/>
                <w:sz w:val="20"/>
              </w:rPr>
              <w:t xml:space="preserve">, but offline warm-up fetches page HTML with </w:t>
            </w:r>
            <w:r>
              <w:rPr>
                <w:rFonts w:ascii="Consolas" w:hAnsi="Consolas" w:eastAsia="Consolas"/>
                <w:sz w:val="19"/>
              </w:rPr>
              <w:t>fetch('/nutrition')</w:t>
            </w:r>
            <w:r>
              <w:rPr>
                <w:rFonts w:ascii="Times New Roman" w:hAnsi="Times New Roman" w:eastAsia="바탕"/>
                <w:sz w:val="20"/>
              </w:rPr>
              <w:t xml:space="preserve">, and that request's </w:t>
            </w:r>
            <w:r>
              <w:rPr>
                <w:rFonts w:ascii="Consolas" w:hAnsi="Consolas" w:eastAsia="Consolas"/>
                <w:sz w:val="19"/>
              </w:rPr>
              <w:t>mode</w:t>
            </w:r>
            <w:r>
              <w:rPr>
                <w:rFonts w:ascii="Times New Roman" w:hAnsi="Times New Roman" w:eastAsia="바탕"/>
                <w:sz w:val="20"/>
              </w:rPr>
              <w:t xml:space="preserve"> is </w:t>
            </w:r>
            <w:r>
              <w:rPr>
                <w:rFonts w:ascii="Consolas" w:hAnsi="Consolas" w:eastAsia="Consolas"/>
                <w:sz w:val="19"/>
              </w:rPr>
              <w:t>cors</w:t>
            </w:r>
            <w:r>
              <w:rPr>
                <w:rFonts w:ascii="Times New Roman" w:hAnsi="Times New Roman" w:eastAsia="바탕"/>
                <w:sz w:val="20"/>
              </w:rPr>
              <w:t xml:space="preserve"> rather than </w:t>
            </w:r>
            <w:r>
              <w:rPr>
                <w:rFonts w:ascii="Consolas" w:hAnsi="Consolas" w:eastAsia="Consolas"/>
                <w:sz w:val="19"/>
              </w:rPr>
              <w:t>navigate</w:t>
            </w:r>
            <w:r>
              <w:rPr>
                <w:rFonts w:ascii="Times New Roman" w:hAnsi="Times New Roman" w:eastAsia="바탕"/>
                <w:sz w:val="20"/>
              </w:rPr>
              <w:t xml:space="preserve">. The pages warm-up brought back were therefore stored nowhere and simply went out to the network. Because the HTML cached at install time was there it worked on the surface, so the defect would only have surfaced the moment a new page was added to the list, and that page alone would have quietly dropped out of offline use. The same line fixed </w:t>
            </w:r>
            <w:r>
              <w:rPr>
                <w:rFonts w:ascii="Consolas" w:hAnsi="Consolas" w:eastAsia="Consolas"/>
                <w:sz w:val="19"/>
              </w:rPr>
              <w:t>manifest.webmanifest</w:t>
            </w:r>
            <w:r>
              <w:rPr>
                <w:rFonts w:ascii="Times New Roman" w:hAnsi="Times New Roman" w:eastAsia="바탕"/>
                <w:sz w:val="20"/>
              </w:rPr>
              <w:t xml:space="preserve"> as well: it sat in the shell yet matched no rule, so with the file in cache the worker still went to the network and failed.</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29]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second row of the table has a correction in it as well. Ninety-day retention was written down while records were in fact being cut off at 200. Someone using the box takes in two or three dose records a day before meals are added, so 200 fills up in about forty days. For as long as the document said ninety days the actual retention was forty, and because nothing marks that a record was cut, a person looking for something from two months ago learns instead that they did not use the app that day. The cap was raised to 1,500 so that the date limit binds first. The cap was not removed, because it is a ceiling on storage rather than a floor under the retention period: a date cannot stop browser storage from filling when records run away.</w:t>
            </w: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30]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31]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587</w:t>
                  </w:r>
                </w:p>
              </w:tc>
              <w:tc>
                <w:tcPr>
                  <w:tcW w:type="dxa" w:w="2429"/>
                </w:tcPr>
                <w:p>
                  <w:r>
                    <w:rPr>
                      <w:rFonts w:ascii="Times New Roman" w:hAnsi="Times New Roman" w:eastAsia="바탕"/>
                      <w:sz w:val="18"/>
                    </w:rPr>
                    <w:t>587 pass · 0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741</w:t>
                  </w:r>
                </w:p>
              </w:tc>
              <w:tc>
                <w:tcPr>
                  <w:tcW w:type="dxa" w:w="2429"/>
                </w:tcPr>
                <w:p>
                  <w:r>
                    <w:rPr>
                      <w:rFonts w:ascii="Times New Roman" w:hAnsi="Times New Roman" w:eastAsia="바탕"/>
                      <w:sz w:val="18"/>
                    </w:rPr>
                    <w:t>653 pass · 88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4 August 2026. The previous version had a single web-app failure here, and how it was fixed is left below as it stands.</w:t>
            </w:r>
          </w:p>
          <w:p>
            <w:pPr>
              <w:spacing w:after="80" w:line="276" w:lineRule="auto"/>
              <w:jc w:val="both"/>
            </w:pPr>
            <w:r>
              <w:rPr>
                <w:rFonts w:ascii="Times New Roman" w:hAnsi="Times New Roman" w:eastAsia="바탕"/>
                <w:sz w:val="20"/>
              </w:rPr>
              <w:t xml:space="preserve">What failed was </w:t>
            </w:r>
            <w:r>
              <w:rPr>
                <w:rFonts w:ascii="Consolas" w:hAnsi="Consolas" w:eastAsia="Consolas"/>
                <w:sz w:val="19"/>
              </w:rPr>
              <w:t>pill_dispenser/webapp_kit/tests/kit.test.ts</w:t>
            </w:r>
            <w:r>
              <w:rPr>
                <w:rFonts w:ascii="Times New Roman" w:hAnsi="Times New Roman" w:eastAsia="바탕"/>
                <w:sz w:val="20"/>
              </w:rPr>
              <w:t xml:space="preserve">, and the cause lay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was set down because something heavier than one failure rode along with it. Since the file never loaded, </w:t>
            </w:r>
            <w:r>
              <w:rPr>
                <w:rFonts w:ascii="Times New Roman" w:hAnsi="Times New Roman" w:eastAsia="바탕"/>
                <w:b/>
                <w:sz w:val="20"/>
              </w:rPr>
              <w:t>not one</w:t>
            </w:r>
            <w:r>
              <w:rPr>
                <w:rFonts w:ascii="Times New Roman" w:hAnsi="Times New Roman" w:eastAsia="바탕"/>
                <w:sz w:val="20"/>
              </w:rPr>
              <w:t xml:space="preserve"> of the tests inside it ran. The total at that time did not count that file's tests, so what looked like a single failure was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This passage is kept rather than deleted because how it ended attaches here. Replacing the constructor parameter property with a declared and assigned field made the file load, and the 30 tests inside came back and all passed. We ran them to check. The 587 in the table above includes those 30. Because the failure was written down, its fix can be written down too, and this document has now met twice the case of a test that looked green while being empty, and written it down both times.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twenty-five tests quietly disappeared, because three files stop at an import of </w:t>
            </w:r>
            <w:r>
              <w:rPr>
                <w:rFonts w:ascii="Consolas" w:hAnsi="Consolas" w:eastAsia="Consolas"/>
                <w:sz w:val="19"/>
              </w:rPr>
              <w:t>zustand</w:t>
            </w:r>
            <w:r>
              <w:rPr>
                <w:rFonts w:ascii="Times New Roman" w:hAnsi="Times New Roman" w:eastAsia="바탕"/>
                <w:sz w:val="20"/>
              </w:rPr>
              <w:t>. That measurement was taken when the total was lower than it is now and has not been repeated since, so this document does not know how many disappear today. Only the fact that they disappear, and the reason, are unchanged.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32]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33]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34]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35]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36]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37]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38]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39]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40]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41]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after="80" w:line="276" w:lineRule="auto"/>
              <w:jc w:val="both"/>
            </w:pPr>
            <w:r>
              <w:rPr>
                <w:rFonts w:ascii="Times New Roman" w:hAnsi="Times New Roman" w:eastAsia="바탕"/>
                <w:sz w:val="20"/>
              </w:rPr>
              <w:t>What was asked about should be stated here as well. §1.13 sets out eleven conditions as the target of this app, and what this survey asked about is not all of them but the condition taken as the design standard, namely a person who cannot read. We did not ask how these screens would be for someone with attention deficit hyperactivity disorder or autism. One harshest condition was fixed and the questions were about that condition, and if the containment of §1.13 holds then those answers reach some way into the other conditions, but how far they reach is not something this survey measured.</w:t>
            </w:r>
          </w:p>
          <w:p>
            <w:pPr>
              <w:spacing w:after="80" w:line="276" w:lineRule="auto"/>
              <w:jc w:val="both"/>
            </w:pPr>
            <w:r>
              <w:rPr>
                <w:rFonts w:ascii="Times New Roman" w:hAnsi="Times New Roman" w:eastAsia="바탕"/>
                <w:sz w:val="20"/>
              </w:rPr>
              <w:t>The list was not drawn on that one condition alone, though. Two of the eight fields in Table 43 are AAC and special education, and adult literacy education, and among the 39 who actually responded, E. A. Draffan, retired speech and language therapist at Global Symbols; Raisa Kravchenko, Deputy Director of the All Ukrainian NGO Coalition for Persons with Intellectual Disabilities; Professor Youngmee Lee of the Department of Communication Disorders at Ewha Womans University; Professor Eunkyung Kim of special education at Kongju National University; and Myojeong Choi, Researcher, and Kyoungseo Park, Assistant Manager, of the Korea Disabled People's Development Institute all deal with intellectual disability, autism and communication disorders daily. Associate Professor Rahul Malhotra of Duke-NUS is a researcher on ageing. What they answered were questions about low-literacy users, but the people who wrote those answers already overlap with the conditions §1.13 widened to.</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42]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43]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44]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45]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46]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47]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43.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48]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before the survey to 587 (Table 31).</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48,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49]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3.9</w:t>
                  </w:r>
                  <w:r>
                    <w:rPr>
                      <w:rFonts w:ascii="Times New Roman" w:hAnsi="Times New Roman" w:eastAsia="바탕"/>
                      <w:sz w:val="18"/>
                    </w:rPr>
                    <w:t xml:space="preserve"> Reduce deaths and illnesses from hazardous substances</w:t>
                  </w:r>
                </w:p>
              </w:tc>
              <w:tc>
                <w:tcPr>
                  <w:tcW w:type="dxa" w:w="4857"/>
                </w:tcPr>
                <w:p>
                  <w:r>
                    <w:rPr>
                      <w:rFonts w:ascii="Times New Roman" w:hAnsi="Times New Roman" w:eastAsia="바탕"/>
                      <w:sz w:val="18"/>
                    </w:rPr>
                    <w:t>Dose and dose time are conveyed by picture, which reduces wrong amounts, and a paired box keeps the medicine inside and releases it only within a dose window. We have measured nothing against this target, however</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Only 3.9 in that table is of a different character, so it is dealt with first. Indicator 3.9.3 of that target is the mortality rate attributed to unintentional poisoning, and overdosing on medicines falls within it. There are two routes by which this app reaches that place, and both are indirect. One is that the single dose and the dose time are conveyed as pictures rather than letters, which reduces wrong amounts (§2.2). The other is that a paired box keeps the medicine inside and releases it only within a dose window (§4.3). What we did not do belongs here as well. No child lock was built, and there is no morpheme in the set meaning keep out of reach of children. And for this target there is no measured figure of the kind §5.1 produced. This row states a direction of contribution rather than a measured one.</w:t>
            </w: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47]</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after="80" w:line="276" w:lineRule="auto"/>
              <w:jc w:val="both"/>
            </w:pPr>
            <w:r>
              <w:rPr>
                <w:rFonts w:ascii="Times New Roman" w:hAnsi="Times New Roman" w:eastAsia="바탕"/>
                <w:sz w:val="20"/>
              </w:rPr>
              <w:t>Thirteenth, nothing was measured under the widened conditions. §1.13 sets out eleven conditions as the target of this app, and four of them rest on a shared mechanism alone: dyslexia, Alzheimer's disease and memory disorders, autism and intellectual disability, and misuse by children. We have never had a person with those conditions use this app, and the expert survey of §5.7 asked about the single condition taken as the design standard. A shared mechanism speaks to the possibility that the same screen works, not to its having worked. What makes this different in kind from the twelve items above is that it is not something we failed to measure but the scope we have newly claimed. The claim widened, so what has to be measured widened with it, and it has not been measured yet.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What stage 6 would measure belongs here as well. The direct approach is to compare medication-taking over four weeks with and without this app, and that requires a control group, a period and ethical review, so it is out of our reach. What we can do is give one task and measure whether it was carried through and how long it took: photograph one prescription and say what is to be taken today, at what time and how many, which is the same kind of measurement the studies cited in §1.10 used. What such a measurement measures is whether the screen arrived, not whether the person took the medicine, and that distinction is the same one set down at the head of §5.7.</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50]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Use testing under the widened conditions</w:t>
                  </w:r>
                </w:p>
              </w:tc>
              <w:tc>
                <w:tcPr>
                  <w:tcW w:type="dxa" w:w="3238"/>
                </w:tcPr>
                <w:p>
                  <w:r>
                    <w:rPr>
                      <w:rFonts w:ascii="Times New Roman" w:hAnsi="Times New Roman" w:eastAsia="바탕"/>
                      <w:sz w:val="18"/>
                    </w:rPr>
                    <w:t>Answers the four conditions in Table 7 of §1.13 and the thirteenth item of §5.9. The first question is whether the routine screen of §3.9 in fact works for users carrying a load on executive function</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43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2026-08-04T09:31:11Z</dcterms:modified>
</cp:coreProperties>
</file>