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전 세계 비문해 성인은 7억 3,900만 명이며, 그중 약 3분의 2인 4억 6,600만 명이 여성이다 (UNESCO UIS, 2024).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UIS, 2024). 중앙·남아시아는 3억 4,700만 명으로 사하라이남 아프리카 다음으로 많다 (UNESCO, 2025). 비문해 성인의 절반 이상인 4억 4,100만 명이 10개국에 집중되어 있다 (UNESCO UIS, 2024).</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 42,445명을 대상으로 한 조사에서, 응답자의 </w:t>
            </w:r>
            <w:r>
              <w:rPr>
                <w:rFonts w:ascii="Times New Roman" w:hAnsi="Times New Roman" w:eastAsia="바탕"/>
                <w:b/>
                <w:sz w:val="20"/>
              </w:rPr>
              <w:t>약 46%가 제한적 건강 문해력</w:t>
            </w:r>
            <w:r>
              <w:rPr>
                <w:rFonts w:ascii="Times New Roman" w:hAnsi="Times New Roman" w:eastAsia="바탕"/>
                <w:sz w:val="20"/>
              </w:rPr>
              <w:t>을 보였다 (HLS19, M-POHL, 2019–2021). 충분한 수준은 40%, 우수한 수준은 15%에 그쳤고, 문제적 수준이 33%, 부적절한 수준이 13%였다 (HLS19, 2021).</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국가·지역</w:t>
                  </w:r>
                </w:p>
              </w:tc>
              <w:tc>
                <w:tcPr>
                  <w:tcW w:type="dxa" w:w="3255"/>
                  <w:shd w:val="clear" w:fill="F2F2F2"/>
                </w:tcPr>
                <w:p>
                  <w:r>
                    <w:rPr>
                      <w:rFonts w:ascii="Times New Roman" w:hAnsi="Times New Roman" w:eastAsia="바탕"/>
                      <w:b/>
                      <w:sz w:val="18"/>
                    </w:rPr>
                    <w:t>제한적 건강 문해력</w:t>
                  </w:r>
                </w:p>
              </w:tc>
              <w:tc>
                <w:tcPr>
                  <w:tcW w:type="dxa" w:w="3255"/>
                  <w:shd w:val="clear" w:fill="F2F2F2"/>
                </w:tcPr>
                <w:p>
                  <w:r>
                    <w:rPr>
                      <w:rFonts w:ascii="Times New Roman" w:hAnsi="Times New Roman" w:eastAsia="바탕"/>
                      <w:b/>
                      <w:sz w:val="18"/>
                    </w:rPr>
                    <w:t>출처</w:t>
                  </w:r>
                </w:p>
              </w:tc>
            </w:tr>
            <w:tr>
              <w:tc>
                <w:tcPr>
                  <w:tcW w:type="dxa" w:w="3255"/>
                </w:tcPr>
                <w:p>
                  <w:r>
                    <w:rPr>
                      <w:rFonts w:ascii="Times New Roman" w:hAnsi="Times New Roman" w:eastAsia="바탕"/>
                      <w:sz w:val="18"/>
                    </w:rPr>
                    <w:t>유럽 17개국 평균</w:t>
                  </w:r>
                </w:p>
              </w:tc>
              <w:tc>
                <w:tcPr>
                  <w:tcW w:type="dxa" w:w="3255"/>
                </w:tcPr>
                <w:p>
                  <w:r>
                    <w:rPr>
                      <w:rFonts w:ascii="Times New Roman" w:hAnsi="Times New Roman" w:eastAsia="바탕"/>
                      <w:sz w:val="18"/>
                    </w:rPr>
                    <w:t>46%</w:t>
                  </w:r>
                </w:p>
              </w:tc>
              <w:tc>
                <w:tcPr>
                  <w:tcW w:type="dxa" w:w="3255"/>
                </w:tcPr>
                <w:p>
                  <w:r>
                    <w:rPr>
                      <w:rFonts w:ascii="Times New Roman" w:hAnsi="Times New Roman" w:eastAsia="바탕"/>
                      <w:sz w:val="18"/>
                    </w:rPr>
                    <w:t>HLS19, M-POHL (2021)</w:t>
                  </w:r>
                </w:p>
              </w:tc>
            </w:tr>
            <w:tr>
              <w:tc>
                <w:tcPr>
                  <w:tcW w:type="dxa" w:w="3255"/>
                </w:tcPr>
                <w:p>
                  <w:r>
                    <w:rPr>
                      <w:rFonts w:ascii="Times New Roman" w:hAnsi="Times New Roman" w:eastAsia="바탕"/>
                      <w:sz w:val="18"/>
                    </w:rPr>
                    <w:t>덴마크</w:t>
                  </w:r>
                </w:p>
              </w:tc>
              <w:tc>
                <w:tcPr>
                  <w:tcW w:type="dxa" w:w="3255"/>
                </w:tcPr>
                <w:p>
                  <w:r>
                    <w:rPr>
                      <w:rFonts w:ascii="Times New Roman" w:hAnsi="Times New Roman" w:eastAsia="바탕"/>
                      <w:sz w:val="18"/>
                    </w:rPr>
                    <w:t>47% (문제적 36% + 부적절 11%)</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노르웨이</w:t>
                  </w:r>
                </w:p>
              </w:tc>
              <w:tc>
                <w:tcPr>
                  <w:tcW w:type="dxa" w:w="3255"/>
                </w:tcPr>
                <w:p>
                  <w:r>
                    <w:rPr>
                      <w:rFonts w:ascii="Times New Roman" w:hAnsi="Times New Roman" w:eastAsia="바탕"/>
                      <w:sz w:val="18"/>
                    </w:rPr>
                    <w:t>46% (문제적 38% + 부적절 8%)</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한국 65세 이상</w:t>
                  </w:r>
                </w:p>
              </w:tc>
              <w:tc>
                <w:tcPr>
                  <w:tcW w:type="dxa" w:w="3255"/>
                </w:tcPr>
                <w:p>
                  <w:r>
                    <w:rPr>
                      <w:rFonts w:ascii="Times New Roman" w:hAnsi="Times New Roman" w:eastAsia="바탕"/>
                      <w:sz w:val="18"/>
                    </w:rPr>
                    <w:t>59.7% (충분 40.3%의 여집합)</w:t>
                  </w:r>
                </w:p>
              </w:tc>
              <w:tc>
                <w:tcPr>
                  <w:tcW w:type="dxa" w:w="3255"/>
                </w:tcPr>
                <w:p>
                  <w:r>
                    <w:rPr>
                      <w:rFonts w:ascii="Times New Roman" w:hAnsi="Times New Roman" w:eastAsia="바탕"/>
                      <w:sz w:val="18"/>
                    </w:rPr>
                    <w:t>국민건강영양조사 (2023)</w:t>
                  </w:r>
                </w:p>
              </w:tc>
            </w:tr>
            <w:tr>
              <w:tc>
                <w:tcPr>
                  <w:tcW w:type="dxa" w:w="3255"/>
                </w:tcPr>
                <w:p>
                  <w:r>
                    <w:rPr>
                      <w:rFonts w:ascii="Times New Roman" w:hAnsi="Times New Roman" w:eastAsia="바탕"/>
                      <w:sz w:val="18"/>
                    </w:rPr>
                    <w:t>한국 19~64세</w:t>
                  </w:r>
                </w:p>
              </w:tc>
              <w:tc>
                <w:tcPr>
                  <w:tcW w:type="dxa" w:w="3255"/>
                </w:tcPr>
                <w:p>
                  <w:r>
                    <w:rPr>
                      <w:rFonts w:ascii="Times New Roman" w:hAnsi="Times New Roman" w:eastAsia="바탕"/>
                      <w:sz w:val="18"/>
                    </w:rPr>
                    <w:t>34.1% (충분 65.9%의 여집합)</w:t>
                  </w:r>
                </w:p>
              </w:tc>
              <w:tc>
                <w:tcPr>
                  <w:tcW w:type="dxa" w:w="3255"/>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표 1이 보여주는 것은 이 문제의 지리적 범위가 우리가 흔히 상정하는 것보다 훨씬 넓다는 점이다. 덴마크와 노르웨이에서도 성인의 절반 가까이가 건강 정보를 충분히 다루지 못한다. 한국의 경우 65세 이상에서 충분한 건강정보이해능력을 가진 비율이 40.3%로, 19~64세의 65.9%와 뚜렷한 격차를 보인다 (국민건강영양조사, 2023).</w:t>
            </w:r>
          </w:p>
          <w:p>
            <w:pPr>
              <w:spacing w:before="160" w:after="60"/>
              <w:jc w:val="center"/>
            </w:pPr>
            <w:r>
              <w:drawing>
                <wp:inline xmlns:a="http://schemas.openxmlformats.org/drawingml/2006/main" xmlns:pic="http://schemas.openxmlformats.org/drawingml/2006/picture">
                  <wp:extent cx="5486400" cy="2660822"/>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6608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집단별 제한적 건강 문해력 비율. 고소득국이라고 낮지 않다는 것과, 같은 나라 안에서도 연령으로 갈린다는 것이 함께 보인다. 한국 65세 이상(59.7%)과 19~64세(34.1%)의 25.6%p 차이는 국가 간 차이보다 크다.</w:t>
            </w:r>
          </w:p>
          <w:p>
            <w:pPr>
              <w:spacing w:after="80" w:line="276" w:lineRule="auto"/>
              <w:jc w:val="both"/>
            </w:pPr>
            <w:r>
              <w:rPr>
                <w:rFonts w:ascii="Times New Roman" w:hAnsi="Times New Roman" w:eastAsia="바탕"/>
                <w:sz w:val="20"/>
              </w:rPr>
              <w:t>이 격차는 임상 결과로 이어진다. 96편의 연구를 종합한 체계적 문헌고찰에 따르면 건강 문해력이 낮은 환자는 응급실 이용이 약 1.52배, 입원이 1.5배 많고, 전체 사망률이 1.53배 높다 (Berkman et al., 2011).</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et al.,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§5.7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결과는 비용과 사망으로 나타난다. 복약 오류 관련 전 세계 연간 비용은 약 420억 달러로 추정된다 (WHO, 2017). 미국에서는 복약 비순응의 직접 비용이 연 1,000억 달러, 회피 가능한 지출까지 포함하면 최대 3,000억 달러에 이르며, 연간 125,000명의 사망과 입원의 최소 10%가 비순응과 연관된다 (Duke Health). 고령자에서는 약물이상반응이 입원의 약 10%를 차지한다 (WHO).</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(WHO,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전 세계 성인 당뇨 유병률은 11.11%로 5억 8,900만 명에 이르며, 이 가운데 </w:t>
            </w:r>
            <w:r>
              <w:rPr>
                <w:rFonts w:ascii="Times New Roman" w:hAnsi="Times New Roman" w:eastAsia="바탕"/>
                <w:b/>
                <w:sz w:val="20"/>
              </w:rPr>
              <w:t>42.8%인 2억 5,170만 명이 진단받지 못한 상태다</w:t>
            </w:r>
            <w:r>
              <w:rPr>
                <w:rFonts w:ascii="Times New Roman" w:hAnsi="Times New Roman" w:eastAsia="바탕"/>
                <w:sz w:val="20"/>
              </w:rPr>
              <w:t xml:space="preserve"> (IDF Diabetes Atlas 11판, 2024). 미진단 비율은 지역에 따라 북미·카리브해 29.1%에서 아프리카 72.6%까지 벌어지고, 국가 단위로는 콜롬비아 16.2%에서 부르키나파소 90.4%까지 분포한다 (IDF, 2024). 미진단 당뇨인의 약 90%가 저·중소득국에 거주한다 (IDF, 2024).</w:t>
            </w:r>
          </w:p>
          <w:p>
            <w:pPr>
              <w:spacing w:after="80" w:line="276" w:lineRule="auto"/>
              <w:jc w:val="both"/>
            </w:pPr>
            <w:r>
              <w:rPr>
                <w:rFonts w:ascii="Times New Roman" w:hAnsi="Times New Roman" w:eastAsia="바탕"/>
                <w:sz w:val="20"/>
              </w:rPr>
              <w:t>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(FARE,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2025). 사하라이남 아프리카의 모바일 인터넷 이용자는 2022년 약 2억 8,700만 명에서 2030년 4억 3,800만 명으로, 스마트폰 보급률은 51%에서 88%로 확대될 전망이다 (GSMA,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Pew Research Center,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60세 이상 인구는 2020년 10억 명에서 2030년 14억 명으로 증가하며, 2030년에는 세계 인구 여섯 명 중 한 명이 60세 이상이 된다 (WHO). 더 중요한 것은 그 분포다. 2030년 60세 이상 인구의 80%가 저·중소득국에 거주하게 되며, 2050년에는 그 비율이 3분의 2에 이른다 (WHO; WEF, 2025).</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et al.,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를 함께 요구한다 (ANSI Z535.3-2022).</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w:t>
                  </w:r>
                </w:p>
              </w:tc>
              <w:tc>
                <w:tcPr>
                  <w:tcW w:type="dxa" w:w="2441"/>
                </w:tcPr>
                <w:p>
                  <w:r>
                    <w:rPr>
                      <w:rFonts w:ascii="Times New Roman" w:hAnsi="Times New Roman" w:eastAsia="바탕"/>
                      <w:sz w:val="18"/>
                    </w:rPr>
                    <w:t>남아공 저문해 환자 · 현지 제작 vs. USP</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이다. 국제적으로 통용되는 USP·FIP 픽토그램 108종을 필리핀 성인에게 시험했을 때 ANSI 85% 기준을 통과한 것은 17종, 여섯에 하나꼴에 그쳤다 (Gutierrez et al., 2022).</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같은 저자들의 앞선 비교에서도 현지 제작 픽토그램 20종이 ANSI 기준을 통과한 데 비해 USP 픽토그램은 11종에 그쳤다. 국제 표준으로 만들어진 것을 다른 문화권에 그대로 가져갔을 때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저문해 환자에게서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이 보고된 것도 같은 방향이다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451266"/>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45126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분자와 분모가 모두 확인된 연구만 실었고, Dowse &amp; Ehlers 의 20 대 11 은 분모를 확인하지 못해 뺐다. 본 연구 값(69.2%)은 §5.2 의 기계 판정 결과이며 사람에게 묻지 않았으므로 앞의 둘과 직접 비교할 수 없다. 같은 판에 놓은 것은 우열을 주장하기 위해서가 아니라, 우리 값이 이 분야가 반복해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이다. USP 라이선스는 "81개 심볼은 변형하거나 다른 이미지와 결합해서는 안 된다" 고 규정한다 (USP License Agreement). 즉 표준을 준수하는 한 조합은 앞으로도 불가능하다.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w:t>
            </w:r>
            <w:r>
              <w:rPr>
                <w:rFonts w:ascii="Times New Roman" w:hAnsi="Times New Roman" w:eastAsia="바탕"/>
                <w:i/>
                <w:sz w:val="20"/>
              </w:rPr>
              <w:t>It's not just illiteracy</w:t>
            </w:r>
            <w:r>
              <w:rPr>
                <w:rFonts w:ascii="Times New Roman" w:hAnsi="Times New Roman" w:eastAsia="바탕"/>
                <w:sz w:val="20"/>
              </w:rPr>
              <w:t>).</w:t>
            </w:r>
          </w:p>
          <w:p>
            <w:pPr>
              <w:spacing w:after="80" w:line="276" w:lineRule="auto"/>
              <w:jc w:val="both"/>
            </w:pPr>
            <w:r>
              <w:rPr>
                <w:rFonts w:ascii="Times New Roman" w:hAnsi="Times New Roman" w:eastAsia="바탕"/>
                <w:sz w:val="20"/>
              </w:rPr>
              <w:t>구조의 문제도 확인되었다. 비문해 사용자를 대상으로 한 휴대폰 UI 비교에서 다중 페이지 목록형은 평균 25초가 걸린 반면 깊은 계층형은 65.5초가 걸려 2.6배의 차이를 보였다 (Medhi, Toyama, Joshi, Athavankar &amp; Cutrell, INTERACT 2013).</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2024). 여기에 건강 문해력 기준을 적용하면 유럽에서도 성인의 46%가 해당한다 (HLS19,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항생제 내성으로 인한 사망은 HIV와 말라리아를 넘어섰다 (WHO GLASS, 2025). 전 세계 세균 감염의 6건 중 1건이 1차 항생제에 내성을 보인다 (WHO GLASS,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2024–2025).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환자의 42.8%가 진단받지 못한 상태이며 (IDF, 2024),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INTERACT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w:t>
            </w:r>
            <w:r>
              <w:rPr>
                <w:rFonts w:ascii="Times New Roman" w:hAnsi="Times New Roman" w:eastAsia="바탕"/>
                <w:i/>
                <w:sz w:val="20"/>
              </w:rPr>
              <w:t>It's not just illiteracy</w:t>
            </w:r>
            <w:r>
              <w:rPr>
                <w:rFonts w:ascii="Times New Roman" w:hAnsi="Times New Roman" w:eastAsia="바탕"/>
                <w:sz w:val="20"/>
              </w:rPr>
              <w:t>),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색은 남성의 약 8%, 여성의 0.5%에게 전달되지 않는다 (색각이상 유병률).</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전 세계 세균 감염의 6건 중 1건이 1차 항생제에 내성을 보이며 (WHO GLASS, 2025), 내성으로 인한 사망은 HIV와 말라리아를 넘어섰다 (WHO GLASS, 2025).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