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평균은 이 문제의 크기를 감춘다. 성인 문해율이 가장 낮은 15개국의 값은 29%에서 60% 사이이며, 차드는 28%다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[표 1] 성인 문해율이 낮은 국가 (2015~2024 인구조사,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[표 2] 비문해 성인이 가장 많은 10개국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이고, 유럽과 북미 일부 지역의 남성은 99%다 (UNESCO, 2025).</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3]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이들 국가의 성인 문해력은 2012년 이후 오히려 정체하거나 낮아졌다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세계보건기구는 2017년 제3차 국제 환자안전 과제로 Medication Without Harm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(WHO,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건강문해력이 순응도를 직접 정하기보다 다른 결정 요인을 매개할 가능성을 제시한다.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(WHO,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11명 가운데 8명이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또 하나의 전제가 있다. 글을 읽을 수 있다 해도 그 글이 자기 언어라는 보장이 없다. 세계 인구의 40%는 자신이 이해하는 언어로 교육에 접근하지 못하며, 문해력 조사조차 대부분 한 언어만으로 측정한다 (UNESCO, 2025). 처방전과 성분표는 그 나라의 공용어나 영어로 인쇄되므로, 문해율 통계에서 "읽을 수 있다" 로 집계된 사람 가운데도 자기 앞의 종이를 읽지 못하는 사람이 있다. 그림과 음성은 이 층을 함께 건너뛴다.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5]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et al.,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등,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정리하면 이 분야는 두 가지를 함께 관찰해 왔다. 잘 만든 그림은 실제로 오류를 줄인다(Yin 등, 2008: 47.8% → 5.4%). 그리고 만들었다고 해서 잘 만들어지는 것은 아니다(Gutierrez 등, 2022: 108종 중 17종). 앞의 것이 이 접근을 택할 이유이고, 뒤의 것이 만든 뒤에 재야 할 이유다.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라이선스는 네 가지를 조건으로 건다. 픽토그램을 환자에게 정보를 전달하는 유일한 수단으로 쓰지 말 것, USP 의 허락 없이 변형하거나 USP 가 만들지 않은 심볼과 함께 쓰지 말 것, 최신판만 쓸 것, 그리고 저작권 표시를 함께 실을 것이다 (U.S. Pharmacopeia, </w:t>
            </w:r>
            <w:r>
              <w:rPr>
                <w:rFonts w:ascii="Times New Roman" w:hAnsi="Times New Roman" w:eastAsia="바탕"/>
                <w:i/>
                <w:sz w:val="20"/>
              </w:rPr>
              <w:t>USP Pictograms</w:t>
            </w:r>
            <w:r>
              <w:rPr>
                <w:rFonts w:ascii="Times New Roman" w:hAnsi="Times New Roman" w:eastAsia="바탕"/>
                <w:sz w:val="20"/>
              </w:rPr>
              <w:t>). 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첫째, 규모. 비문해 성인은 7억 3,900만 명이며, 지역에 따라 절대수가 증가하고 있다 (UNESCO, 2025). 여기에 건강 문해력 기준을 적용하면 대상은 더 넓어진다. 한국 성인의 39.6%, 65세 이상의 59.7% 가 건강정보이해능력이 충분하지 않다 (질병관리청, 2023).</w:t>
            </w:r>
          </w:p>
          <w:p>
            <w:pPr>
              <w:spacing w:after="80" w:line="276" w:lineRule="auto"/>
              <w:jc w:val="both"/>
            </w:pPr>
            <w:r>
              <w:rPr>
                <w:rFonts w:ascii="Times New Roman" w:hAnsi="Times New Roman" w:eastAsia="바탕"/>
                <w:sz w:val="20"/>
              </w:rPr>
              <w:t xml:space="preserve">둘째, 대가.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셋째, 시각적 방법의 효과와 한계.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다섯째, 전달 경로의 개방. 미국 65세 이상의 78%가 이미 스마트폰을 보유하고 있다 (Pew Research Center,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아래의 붉은 줄이 이 절이 조심하는 자리다.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00610" cy="4754880"/>
                  <wp:docPr id="14" name="Picture 14"/>
                  <wp:cNvGraphicFramePr>
                    <a:graphicFrameLocks noChangeAspect="1"/>
                  </wp:cNvGraphicFramePr>
                  <a:graphic>
                    <a:graphicData uri="http://schemas.openxmlformats.org/drawingml/2006/picture">
                      <pic:pic>
                        <pic:nvPicPr>
                          <pic:cNvPr id="0" name="fig01_home.png"/>
                          <pic:cNvPicPr/>
                        </pic:nvPicPr>
                        <pic:blipFill>
                          <a:blip r:embed="rId28"/>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5" name="Picture 15"/>
                  <wp:cNvGraphicFramePr>
                    <a:graphicFrameLocks noChangeAspect="1"/>
                  </wp:cNvGraphicFramePr>
                  <a:graphic>
                    <a:graphicData uri="http://schemas.openxmlformats.org/drawingml/2006/picture">
                      <pic:pic>
                        <pic:nvPicPr>
                          <pic:cNvPr id="0" name="chart17_morpheme_map.png"/>
                          <pic:cNvPicPr/>
                        </pic:nvPicPr>
                        <pic:blipFill>
                          <a:blip r:embed="rId29"/>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6" name="Picture 16"/>
                  <wp:cNvGraphicFramePr>
                    <a:graphicFrameLocks noChangeAspect="1"/>
                  </wp:cNvGraphicFramePr>
                  <a:graphic>
                    <a:graphicData uri="http://schemas.openxmlformats.org/drawingml/2006/picture">
                      <pic:pic>
                        <pic:nvPicPr>
                          <pic:cNvPr id="0" name="fig02_sigil_sheet.png"/>
                          <pic:cNvPicPr/>
                        </pic:nvPicPr>
                        <pic:blipFill>
                          <a:blip r:embed="rId30"/>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7" name="Picture 17"/>
                  <wp:cNvGraphicFramePr>
                    <a:graphicFrameLocks noChangeAspect="1"/>
                  </wp:cNvGraphicFramePr>
                  <a:graphic>
                    <a:graphicData uri="http://schemas.openxmlformats.org/drawingml/2006/picture">
                      <pic:pic>
                        <pic:nvPicPr>
                          <pic:cNvPr id="0" name="fig03_dsl.png"/>
                          <pic:cNvPicPr/>
                        </pic:nvPicPr>
                        <pic:blipFill>
                          <a:blip r:embed="rId31"/>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before="160" w:after="60"/>
              <w:jc w:val="center"/>
            </w:pPr>
            <w:r>
              <w:drawing>
                <wp:inline xmlns:a="http://schemas.openxmlformats.org/drawingml/2006/main" xmlns:pic="http://schemas.openxmlformats.org/drawingml/2006/picture">
                  <wp:extent cx="5486400" cy="3017520"/>
                  <wp:docPr id="18" name="Picture 18"/>
                  <wp:cNvGraphicFramePr>
                    <a:graphicFrameLocks noChangeAspect="1"/>
                  </wp:cNvGraphicFramePr>
                  <a:graphic>
                    <a:graphicData uri="http://schemas.openxmlformats.org/drawingml/2006/picture">
                      <pic:pic>
                        <pic:nvPicPr>
                          <pic:cNvPr id="0" name="fig26_voca.png"/>
                          <pic:cNvPicPr/>
                        </pic:nvPicPr>
                        <pic:blipFill>
                          <a:blip r:embed="rId32"/>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21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19" name="Picture 19"/>
                  <wp:cNvGraphicFramePr>
                    <a:graphicFrameLocks noChangeAspect="1"/>
                  </wp:cNvGraphicFramePr>
                  <a:graphic>
                    <a:graphicData uri="http://schemas.openxmlformats.org/drawingml/2006/picture">
                      <pic:pic>
                        <pic:nvPicPr>
                          <pic:cNvPr id="0" name="fig15_verdict_flow.png"/>
                          <pic:cNvPicPr/>
                        </pic:nvPicPr>
                        <pic:blipFill>
                          <a:blip r:embed="rId3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10]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0" name="Picture 20"/>
                  <wp:cNvGraphicFramePr>
                    <a:graphicFrameLocks noChangeAspect="1"/>
                  </wp:cNvGraphicFramePr>
                  <a:graphic>
                    <a:graphicData uri="http://schemas.openxmlformats.org/drawingml/2006/picture">
                      <pic:pic>
                        <pic:nvPicPr>
                          <pic:cNvPr id="0" name="fig16_conditions.png"/>
                          <pic:cNvPicPr/>
                        </pic:nvPicPr>
                        <pic:blipFill>
                          <a:blip r:embed="rId34"/>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11]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21" name="Picture 21"/>
                  <wp:cNvGraphicFramePr>
                    <a:graphicFrameLocks noChangeAspect="1"/>
                  </wp:cNvGraphicFramePr>
                  <a:graphic>
                    <a:graphicData uri="http://schemas.openxmlformats.org/drawingml/2006/picture">
                      <pic:pic>
                        <pic:nvPicPr>
                          <pic:cNvPr id="0" name="panelA_flow.png"/>
                          <pic:cNvPicPr/>
                        </pic:nvPicPr>
                        <pic:blipFill>
                          <a:blip r:embed="rId35"/>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22" name="Picture 22"/>
                  <wp:cNvGraphicFramePr>
                    <a:graphicFrameLocks noChangeAspect="1"/>
                  </wp:cNvGraphicFramePr>
                  <a:graphic>
                    <a:graphicData uri="http://schemas.openxmlformats.org/drawingml/2006/picture">
                      <pic:pic>
                        <pic:nvPicPr>
                          <pic:cNvPr id="0" name="panelB_nutrition.png"/>
                          <pic:cNvPicPr/>
                        </pic:nvPicPr>
                        <pic:blipFill>
                          <a:blip r:embed="rId36"/>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3" name="Picture 23"/>
                  <wp:cNvGraphicFramePr>
                    <a:graphicFrameLocks noChangeAspect="1"/>
                  </wp:cNvGraphicFramePr>
                  <a:graphic>
                    <a:graphicData uri="http://schemas.openxmlformats.org/drawingml/2006/picture">
                      <pic:pic>
                        <pic:nvPicPr>
                          <pic:cNvPr id="0" name="fig10_dispenser.png"/>
                          <pic:cNvPicPr/>
                        </pic:nvPicPr>
                        <pic:blipFill>
                          <a:blip r:embed="rId37"/>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4" name="Picture 24"/>
                  <wp:cNvGraphicFramePr>
                    <a:graphicFrameLocks noChangeAspect="1"/>
                  </wp:cNvGraphicFramePr>
                  <a:graphic>
                    <a:graphicData uri="http://schemas.openxmlformats.org/drawingml/2006/picture">
                      <pic:pic>
                        <pic:nvPicPr>
                          <pic:cNvPr id="0" name="fig11_userflow.png"/>
                          <pic:cNvPicPr/>
                        </pic:nvPicPr>
                        <pic:blipFill>
                          <a:blip r:embed="rId38"/>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12]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12의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31920" cy="4754880"/>
                  <wp:docPr id="25" name="Picture 25"/>
                  <wp:cNvGraphicFramePr>
                    <a:graphicFrameLocks noChangeAspect="1"/>
                  </wp:cNvGraphicFramePr>
                  <a:graphic>
                    <a:graphicData uri="http://schemas.openxmlformats.org/drawingml/2006/picture">
                      <pic:pic>
                        <pic:nvPicPr>
                          <pic:cNvPr id="0" name="panelC_onboarding.png"/>
                          <pic:cNvPicPr/>
                        </pic:nvPicPr>
                        <pic:blipFill>
                          <a:blip r:embed="rId39"/>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6" name="Picture 26"/>
                  <wp:cNvGraphicFramePr>
                    <a:graphicFrameLocks noChangeAspect="1"/>
                  </wp:cNvGraphicFramePr>
                  <a:graphic>
                    <a:graphicData uri="http://schemas.openxmlformats.org/drawingml/2006/picture">
                      <pic:pic>
                        <pic:nvPicPr>
                          <pic:cNvPr id="0" name="fig19_recognition.png"/>
                          <pic:cNvPicPr/>
                        </pic:nvPicPr>
                        <pic:blipFill>
                          <a:blip r:embed="rId4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13]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백분율을 숨기지 않고 그대로 보이는 것은 의도한 것이다. 저문해 사용자 연구에서 지적된 장벽 가운데 하나가 위압감(intimidation)이며 (Medhi, Cutrell &amp; Toyama,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14]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7" name="Picture 27"/>
                  <wp:cNvGraphicFramePr>
                    <a:graphicFrameLocks noChangeAspect="1"/>
                  </wp:cNvGraphicFramePr>
                  <a:graphic>
                    <a:graphicData uri="http://schemas.openxmlformats.org/drawingml/2006/picture">
                      <pic:pic>
                        <pic:nvPicPr>
                          <pic:cNvPr id="0" name="fig22_verdict_order.png"/>
                          <pic:cNvPicPr/>
                        </pic:nvPicPr>
                        <pic:blipFill>
                          <a:blip r:embed="rId41"/>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15]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21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16]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8" name="Picture 28"/>
                  <wp:cNvGraphicFramePr>
                    <a:graphicFrameLocks noChangeAspect="1"/>
                  </wp:cNvGraphicFramePr>
                  <a:graphic>
                    <a:graphicData uri="http://schemas.openxmlformats.org/drawingml/2006/picture">
                      <pic:pic>
                        <pic:nvPicPr>
                          <pic:cNvPr id="0" name="fig25_failure.png"/>
                          <pic:cNvPicPr/>
                        </pic:nvPicPr>
                        <pic:blipFill>
                          <a:blip r:embed="rId42"/>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17]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before="120" w:after="20"/>
            </w:pPr>
            <w:r>
              <w:rPr>
                <w:rFonts w:ascii="Times New Roman" w:hAnsi="Times New Roman" w:eastAsia="바탕"/>
                <w:b/>
                <w:sz w:val="21"/>
              </w:rPr>
              <w:t>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18]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18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19]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20]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22]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23]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29" name="Picture 29"/>
                  <wp:cNvGraphicFramePr>
                    <a:graphicFrameLocks noChangeAspect="1"/>
                  </wp:cNvGraphicFramePr>
                  <a:graphic>
                    <a:graphicData uri="http://schemas.openxmlformats.org/drawingml/2006/picture">
                      <pic:pic>
                        <pic:nvPicPr>
                          <pic:cNvPr id="0" name="fig17_gate.png"/>
                          <pic:cNvPicPr/>
                        </pic:nvPicPr>
                        <pic:blipFill>
                          <a:blip r:embed="rId43"/>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24]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24의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릴레이 경로의 추가</w:t>
            </w:r>
          </w:p>
          <w:p>
            <w:pPr>
              <w:spacing w:after="80" w:line="276" w:lineRule="auto"/>
              <w:jc w:val="both"/>
            </w:pPr>
            <w:r>
              <w:rPr>
                <w:rFonts w:ascii="Times New Roman" w:hAnsi="Times New Roman" w:eastAsia="바탕"/>
                <w:sz w:val="20"/>
              </w:rPr>
              <w:t>표 24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0" name="Picture 30"/>
                  <wp:cNvGraphicFramePr>
                    <a:graphicFrameLocks noChangeAspect="1"/>
                  </wp:cNvGraphicFramePr>
                  <a:graphic>
                    <a:graphicData uri="http://schemas.openxmlformats.org/drawingml/2006/picture">
                      <pic:pic>
                        <pic:nvPicPr>
                          <pic:cNvPr id="0" name="fig20_relay_keys.png"/>
                          <pic:cNvPicPr/>
                        </pic:nvPicPr>
                        <pic:blipFill>
                          <a:blip r:embed="rId44"/>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24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3_formsheet.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25]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25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2" name="Picture 32"/>
                  <wp:cNvGraphicFramePr>
                    <a:graphicFrameLocks noChangeAspect="1"/>
                  </wp:cNvGraphicFramePr>
                  <a:graphic>
                    <a:graphicData uri="http://schemas.openxmlformats.org/drawingml/2006/picture">
                      <pic:pic>
                        <pic:nvPicPr>
                          <pic:cNvPr id="0" name="fig14_formsheet.png"/>
                          <pic:cNvPicPr/>
                        </pic:nvPicPr>
                        <pic:blipFill>
                          <a:blip r:embed="rId46"/>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1_sw.png"/>
                          <pic:cNvPicPr/>
                        </pic:nvPicPr>
                        <pic:blipFill>
                          <a:blip r:embed="rId47"/>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26]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4" name="Picture 34"/>
                  <wp:cNvGraphicFramePr>
                    <a:graphicFrameLocks noChangeAspect="1"/>
                  </wp:cNvGraphicFramePr>
                  <a:graphic>
                    <a:graphicData uri="http://schemas.openxmlformats.org/drawingml/2006/picture">
                      <pic:pic>
                        <pic:nvPicPr>
                          <pic:cNvPr id="0" name="fig24_sign.png"/>
                          <pic:cNvPicPr/>
                        </pic:nvPicPr>
                        <pic:blipFill>
                          <a:blip r:embed="rId48"/>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27]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28]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22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여기에도 조건이 붙는다. 본 프로젝트는 개발 전 과정에서 AI 코딩 도구를 사용했으며, 이를 숨기지 않는다. 도구가 만든 것을 그대로 둔 곳은 없다. 이 문서가 기록한 결함들, 이를테면 인용 37종 가운데 12종이 원문과 달랐던 것이나(§5.9), 형태소 검사기가 고리 넷을 "네 개" 로 통과시킨 것(§5.2)이 모두 사람이 다시 확인해 찾은 것이다.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29]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30]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5" name="Picture 35"/>
                  <wp:cNvGraphicFramePr>
                    <a:graphicFrameLocks noChangeAspect="1"/>
                  </wp:cNvGraphicFramePr>
                  <a:graphic>
                    <a:graphicData uri="http://schemas.openxmlformats.org/drawingml/2006/picture">
                      <pic:pic>
                        <pic:nvPicPr>
                          <pic:cNvPr id="0" name="chart06_formative.png"/>
                          <pic:cNvPicPr/>
                        </pic:nvPicPr>
                        <pic:blipFill>
                          <a:blip r:embed="rId4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31]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6" name="Picture 36"/>
                  <wp:cNvGraphicFramePr>
                    <a:graphicFrameLocks noChangeAspect="1"/>
                  </wp:cNvGraphicFramePr>
                  <a:graphic>
                    <a:graphicData uri="http://schemas.openxmlformats.org/drawingml/2006/picture">
                      <pic:pic>
                        <pic:nvPicPr>
                          <pic:cNvPr id="0" name="fig18_pictogram_gate.png"/>
                          <pic:cNvPicPr/>
                        </pic:nvPicPr>
                        <pic:blipFill>
                          <a:blip r:embed="rId5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32]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7" name="Picture 37"/>
                  <wp:cNvGraphicFramePr>
                    <a:graphicFrameLocks noChangeAspect="1"/>
                  </wp:cNvGraphicFramePr>
                  <a:graphic>
                    <a:graphicData uri="http://schemas.openxmlformats.org/drawingml/2006/picture">
                      <pic:pic>
                        <pic:nvPicPr>
                          <pic:cNvPr id="0" name="chart07_glyph_check.png"/>
                          <pic:cNvPicPr/>
                        </pic:nvPicPr>
                        <pic:blipFill>
                          <a:blip r:embed="rId5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33]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34]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35]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36]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8" name="Picture 38"/>
                  <wp:cNvGraphicFramePr>
                    <a:graphicFrameLocks noChangeAspect="1"/>
                  </wp:cNvGraphicFramePr>
                  <a:graphic>
                    <a:graphicData uri="http://schemas.openxmlformats.org/drawingml/2006/picture">
                      <pic:pic>
                        <pic:nvPicPr>
                          <pic:cNvPr id="0" name="chart08_model_mae.png"/>
                          <pic:cNvPicPr/>
                        </pic:nvPicPr>
                        <pic:blipFill>
                          <a:blip r:embed="rId5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37]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38]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39]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누가 답했는가</w:t>
            </w:r>
          </w:p>
          <w:p>
            <w:pPr>
              <w:spacing w:after="80" w:line="276" w:lineRule="auto"/>
              <w:jc w:val="both"/>
            </w:pPr>
            <w:r>
              <w:rPr>
                <w:rFonts w:ascii="Times New Roman" w:hAnsi="Times New Roman" w:eastAsia="바탕"/>
                <w:sz w:val="20"/>
              </w:rPr>
              <w:t>2026년 8월 2일 기준 34명이 답했다. 발송 대비 3.1% 이며, 자유 서술 93건이 함께 왔다.</w:t>
            </w:r>
          </w:p>
          <w:p>
            <w:pPr>
              <w:spacing w:after="80" w:line="276" w:lineRule="auto"/>
              <w:jc w:val="both"/>
            </w:pPr>
            <w:r>
              <w:rPr>
                <w:rFonts w:ascii="Times New Roman" w:hAnsi="Times New Roman" w:eastAsia="바탕"/>
                <w:sz w:val="20"/>
              </w:rPr>
              <w:t>[표 40] 응답자 구성 (n = 34)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11</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9" name="Picture 39"/>
                  <wp:cNvGraphicFramePr>
                    <a:graphicFrameLocks noChangeAspect="1"/>
                  </wp:cNvGraphicFramePr>
                  <a:graphic>
                    <a:graphicData uri="http://schemas.openxmlformats.org/drawingml/2006/picture">
                      <pic:pic>
                        <pic:nvPicPr>
                          <pic:cNvPr id="0" name="chart15_survey_who.png"/>
                          <pic:cNvPicPr/>
                        </pic:nvPicPr>
                        <pic:blipFill>
                          <a:blip r:embed="rId5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응답자 34명의 구성. 왼쪽이 분야, 오른쪽이 대륙이다. 약국과 간호가 20명으로 3분의 2를 차지하는데, 이 둘이 데모를 보고 환자의 이해를 판정할 자격이 있다고 본 다섯 구획의 중심이다. 아시아가 24명인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19개국이며, 한국만 적은 사람이 16명이다.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41] 응답자 34명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(11명)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44%(15명)가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42] 글을 읽지 못하는 환자가 이 화면만으로 혼자 약을 제대로 복용할 수 있겠는가 (판단 자격 다섯 구획,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16</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11명 중 8명이 이 앱이 만든 지시를 약사가 매번 검토해야 한다고 답했고, 처음 한 번이면 충분하다는 답이 3명이었다. 놓일 자리로는 약사 설명을 보조하는 도구 6명, 환자가 집에서 혼자 확인하는 수단 3명, 약사가 닿지 못하는 환자의 대체 경로 2명이다. 의학적으로 가장 틀리면 안 되는 것으로는 복용량과 횟수 6명, 병용금기와 상호작용 3명을 꼽았다.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숫자를 어디까지 말할 수 있는가</w:t>
            </w:r>
          </w:p>
          <w:p>
            <w:pPr>
              <w:spacing w:after="80" w:line="276" w:lineRule="auto"/>
              <w:jc w:val="both"/>
            </w:pPr>
            <w:r>
              <w:rPr>
                <w:rFonts w:ascii="Times New Roman" w:hAnsi="Times New Roman" w:eastAsia="바탕"/>
                <w:sz w:val="20"/>
              </w:rPr>
              <w:t>n = 34 는 작다.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43] 판단 문항의 비율과 95% 신뢰구간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16 / 24</w:t>
                  </w:r>
                </w:p>
              </w:tc>
              <w:tc>
                <w:tcPr>
                  <w:tcW w:type="dxa" w:w="2429"/>
                </w:tcPr>
                <w:p>
                  <w:r>
                    <w:rPr>
                      <w:rFonts w:ascii="Times New Roman" w:hAnsi="Times New Roman" w:eastAsia="바탕"/>
                      <w:sz w:val="18"/>
                    </w:rPr>
                    <w:t>66.7%</w:t>
                  </w:r>
                </w:p>
              </w:tc>
              <w:tc>
                <w:tcPr>
                  <w:tcW w:type="dxa" w:w="2429"/>
                </w:tcPr>
                <w:p>
                  <w:r>
                    <w:rPr>
                      <w:rFonts w:ascii="Times New Roman" w:hAnsi="Times New Roman" w:eastAsia="바탕"/>
                      <w:sz w:val="18"/>
                    </w:rPr>
                    <w:t>46.7% ~ 82.0%</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24</w:t>
                  </w:r>
                </w:p>
              </w:tc>
              <w:tc>
                <w:tcPr>
                  <w:tcW w:type="dxa" w:w="2429"/>
                </w:tcPr>
                <w:p>
                  <w:r>
                    <w:rPr>
                      <w:rFonts w:ascii="Times New Roman" w:hAnsi="Times New Roman" w:eastAsia="바탕"/>
                      <w:sz w:val="18"/>
                    </w:rPr>
                    <w:t>29.2%</w:t>
                  </w:r>
                </w:p>
              </w:tc>
              <w:tc>
                <w:tcPr>
                  <w:tcW w:type="dxa" w:w="2429"/>
                </w:tcPr>
                <w:p>
                  <w:r>
                    <w:rPr>
                      <w:rFonts w:ascii="Times New Roman" w:hAnsi="Times New Roman" w:eastAsia="바탕"/>
                      <w:sz w:val="18"/>
                    </w:rPr>
                    <w:t>14.9% ~ 49.2%</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24</w:t>
                  </w:r>
                </w:p>
              </w:tc>
              <w:tc>
                <w:tcPr>
                  <w:tcW w:type="dxa" w:w="2429"/>
                </w:tcPr>
                <w:p>
                  <w:r>
                    <w:rPr>
                      <w:rFonts w:ascii="Times New Roman" w:hAnsi="Times New Roman" w:eastAsia="바탕"/>
                      <w:sz w:val="18"/>
                    </w:rPr>
                    <w:t>4.2%</w:t>
                  </w:r>
                </w:p>
              </w:tc>
              <w:tc>
                <w:tcPr>
                  <w:tcW w:type="dxa" w:w="2429"/>
                </w:tcPr>
                <w:p>
                  <w:r>
                    <w:rPr>
                      <w:rFonts w:ascii="Times New Roman" w:hAnsi="Times New Roman" w:eastAsia="바탕"/>
                      <w:sz w:val="18"/>
                    </w:rPr>
                    <w:t>0.7% ~ 20.2%</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24</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13.8%</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0_survey.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판단 문항의 비율과 95% 신뢰구간 (n = 24). 점이 비율, 선이 구간이다. 구간이 넓은 것이 이 표본의 크기이며, 그림에서 읽어야 할 것은 점의 위치가 아니라 선의 길이다. "아니오" 가 0건이라도 구간은 13.8%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13.8% 아래일 것이라는 정도이며, 24명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44]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5/20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0.552</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4/11,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34/1,062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0.634</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0/10,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0.019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0.034</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0.717</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다섯 번 돌렸으므로 Bonferroni 보정 문턱은 0.010 이다. 그 문턱을 넘는 것은 마지막 줄 하나뿐이며, 그것은 오래 머문 사람이 더 길게 적었다는 것으로 내용에 관한 발견이 아니다. 즉 이 조사에서 집단 간 차이를 말할 수 있는 것은 없다. 유의하지 않은 검정을 빼고 유의한 것만 싣는 것이 이 표본에서 할 수 있는 가장 나쁜 일이므로, 돌린 것을 모두 적었다.</w:t>
            </w:r>
          </w:p>
          <w:p>
            <w:pPr>
              <w:spacing w:after="80" w:line="276" w:lineRule="auto"/>
              <w:jc w:val="both"/>
            </w:pPr>
            <w:r>
              <w:rPr>
                <w:rFonts w:ascii="Times New Roman" w:hAnsi="Times New Roman" w:eastAsia="바탕"/>
                <w:sz w:val="20"/>
              </w:rPr>
              <w:t>넷째 줄과 다섯째 줄은 흥미롭지만 주장으로 삼지 않는다. 한국어로 답한 열 명 가운데 "가능" 이라고 답한 사람이 하나도 없고 영어로 답한 열넷 중에서는 절반이 그렇게 답했다는 것, 그리고 한국어 응답자가 영어 응답자보다 훨씬 짧게 머물렀다는 것은 보정 전에는 유의하나 보정 후에는 아니다. 그리고 언어는 응답자의 국가·직군과 얽혀 있으므로, 차이가 있다 해도 그것이 언어 때문인지 다른 것 때문인지 이 자료로는 가를 수 없다.</w:t>
            </w:r>
          </w:p>
          <w:p>
            <w:pPr>
              <w:spacing w:after="80" w:line="276" w:lineRule="auto"/>
              <w:jc w:val="both"/>
            </w:pPr>
            <w:r>
              <w:rPr>
                <w:rFonts w:ascii="Times New Roman" w:hAnsi="Times New Roman" w:eastAsia="바탕"/>
                <w:sz w:val="20"/>
              </w:rPr>
              <w:t>여섯째 줄만 따로 읽어 둘 만하다. 소요 시간과 자유 서술량의 순위상관이 0.717 이라는 것은 오래 머문 사람이 실제로 더 많이 적었다는 뜻이며, 응답의 성의를 재는 대리 지표로 쓸 수 있다. 소요 시간 중앙값은 10.3분,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34명 중 29명이 적었고 113건이다. 같은 지적이 몇 명에게서 독립적으로 나왔는지를 낱말로 훑어 세면 검증 부재 6명, 한 장의 요소 과다 5명, 시각장애인 5명, 금지 표시 4명, 기존 세트 참조 3명이다.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before="120" w:after="20"/>
            </w:pPr>
            <w:r>
              <w:rPr>
                <w:rFonts w:ascii="Times New Roman" w:hAnsi="Times New Roman" w:eastAsia="바탕"/>
                <w:b/>
                <w:sz w:val="21"/>
              </w:rPr>
              <w:t>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우리는 인쇄된 표본으로만 시험했다.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"픽토그램이 직관적으로 정보를 줄 수 있는 좋은 소재이지만 비문해자에게는 이 또한 글자로 느껴질 수 있습니다. '까만 것은 글자고 하얀 것은 종이' 라는 말이 있듯이, 비문해자의 입장에서 인식될 수 있는 디자인과 색감 등을 고려해서 구현하면 좋을 것 같습니다."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중단하는 상황을 예방하는 게 필요해 보입니다. 예를 들어 이 약물이 임산부에게 위험이 있는 약이어도 환자의 종합적 상태를 고려해 처방되는 경우도 있는데, 다른 의료진의 중재 없이 환자 혼자 확인하게 되는 경우 임의로 약물 치료를 받지 않는 상황이 생길 수 있을 것 같습니다."</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11명 중 8명이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before="120" w:after="20"/>
            </w:pPr>
            <w:r>
              <w:rPr>
                <w:rFonts w:ascii="Times New Roman" w:hAnsi="Times New Roman" w:eastAsia="바탕"/>
                <w:b/>
                <w:sz w:val="21"/>
              </w:rPr>
              <w:t>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한국장애인개발원 최묘정 연구원은 Nielsen 과 Landauer(1993)를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45]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1" name="Picture 41"/>
                  <wp:cNvGraphicFramePr>
                    <a:graphicFrameLocks noChangeAspect="1"/>
                  </wp:cNvGraphicFramePr>
                  <a:graphic>
                    <a:graphicData uri="http://schemas.openxmlformats.org/drawingml/2006/picture">
                      <pic:pic>
                        <pic:nvPicPr>
                          <pic:cNvPr id="0" name="chart18_field_answers.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약국 11명과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11명 가운데 9명이 그림과 음성만으로는 전달하면 안 되는 것이 있다고 답했다. 병용금기와 상호작용이 4명,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19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시험은 231개에서 311개가 되었다.</w:t>
            </w:r>
          </w:p>
          <w:p>
            <w:pPr>
              <w:spacing w:before="120" w:after="20"/>
            </w:pPr>
            <w:r>
              <w:rPr>
                <w:rFonts w:ascii="Times New Roman" w:hAnsi="Times New Roman" w:eastAsia="바탕"/>
                <w:b/>
                <w:sz w:val="21"/>
              </w:rPr>
              <w:t>이 조사의 한계</w:t>
            </w:r>
          </w:p>
          <w:p>
            <w:pPr>
              <w:spacing w:after="80" w:line="276" w:lineRule="auto"/>
              <w:jc w:val="both"/>
            </w:pPr>
            <w:r>
              <w:rPr>
                <w:rFonts w:ascii="Times New Roman" w:hAnsi="Times New Roman" w:eastAsia="바탕"/>
                <w:sz w:val="20"/>
              </w:rPr>
              <w:t>표본이 자기선택적이다. 1,103명 중 34명이 답했고, 답한 사람은 이 주제에 관심이 있는 사람이다. 답하지 않은 1,069명의 판단은 알 수 없다.</w:t>
            </w:r>
          </w:p>
          <w:p>
            <w:pPr>
              <w:spacing w:after="80" w:line="276" w:lineRule="auto"/>
              <w:jc w:val="both"/>
            </w:pPr>
            <w:r>
              <w:rPr>
                <w:rFonts w:ascii="Times New Roman" w:hAnsi="Times New Roman" w:eastAsia="바탕"/>
                <w:sz w:val="20"/>
              </w:rPr>
              <w:t>분모가 작다. 가장 큰 구획인 약국이 11명이다. 백분율로 적으면 한 사람이 9%p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34명 중 29명이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46]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w:t>
            </w:r>
          </w:p>
          <w:p>
            <w:pPr>
              <w:spacing w:after="80" w:line="276" w:lineRule="auto"/>
              <w:jc w:val="both"/>
            </w:pPr>
            <w:r>
              <w:rPr>
                <w:rFonts w:ascii="Times New Roman" w:hAnsi="Times New Roman" w:eastAsia="바탕"/>
                <w:sz w:val="20"/>
              </w:rPr>
              <w:t>지역별로 보면 이 문제도 우리가 대상으로 삼는 곳에 몰려 있다. 동남아시아와 동지중해 지역에서는 보고된 감염 셋 중 하나가 내성을 보였고, 아프리카에서는 다섯 중 하나, 아메리카에서는 일곱 중 하나다 (WHO GLASS,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4_amr_region.png"/>
                          <pic:cNvPicPr/>
                        </pic:nvPicPr>
                        <pic:blipFill>
                          <a:blip r:embed="rId5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보고된 세균 감염 중 항생제 내성 비율 (WHO GLASS,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 2019년 기준 세균 내성에 직접 기인한 사망은 127만 명으로 HIV/AIDS 나 말라리아보다 많았다 (Murray et al., 2022). 증상이 가시면 항생제를 중단하는 것이 내성의 주요 인적 경로다. 그리고 그것이 소수의 행동이 아니다. 12개국 9,772명을 조사한 결과 </w:t>
            </w:r>
            <w:r>
              <w:rPr>
                <w:rFonts w:ascii="Times New Roman" w:hAnsi="Times New Roman" w:eastAsia="바탕"/>
                <w:b/>
                <w:color w:val="606068"/>
                <w:sz w:val="18"/>
              </w:rPr>
              <w:t>32%가 몸이 나아지면 항생제를 끊어도 된다고 믿고 있었고</w:t>
            </w:r>
            <w:r>
              <w:rPr>
                <w:rFonts w:ascii="Times New Roman" w:hAnsi="Times New Roman" w:eastAsia="바탕"/>
                <w:color w:val="606068"/>
                <w:sz w:val="18"/>
              </w:rPr>
              <w:t xml:space="preserve">, 64%는 항생제가 감기나 독감에 듣는다고 답했다 (World Health Organization, </w:t>
            </w:r>
            <w:r>
              <w:rPr>
                <w:rFonts w:ascii="Times New Roman" w:hAnsi="Times New Roman" w:eastAsia="바탕"/>
                <w:i/>
                <w:color w:val="606068"/>
                <w:sz w:val="18"/>
              </w:rPr>
              <w:t>WHO multi-country survey reveals widespread public misunderstanding about antibiotic resistance</w:t>
            </w:r>
            <w:r>
              <w:rPr>
                <w:rFonts w:ascii="Times New Roman" w:hAnsi="Times New Roman" w:eastAsia="바탕"/>
                <w:color w:val="606068"/>
                <w:sz w:val="18"/>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둘째, 문화 적응이 검증되지 않았다.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47]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34명이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113건을 문항별로 그대로 싣는다. 줄바꿈만 없애고 손대지 않았다.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(6건)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https://health.kr/mediCounsel/pictogram.asp 전세계약사들을 위한 픽토그램 정보를 확인하실 수 있습니다.</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11</w:t>
                  </w:r>
                </w:p>
              </w:tc>
              <w:tc>
                <w:tcPr>
                  <w:tcW w:type="dxa" w:w="3238"/>
                </w:tcPr>
                <w:p>
                  <w:r>
                    <w:rPr>
                      <w:rFonts w:ascii="Times New Roman" w:hAnsi="Times New Roman" w:eastAsia="바탕"/>
                      <w:sz w:val="18"/>
                    </w:rPr>
                    <w:t>32%</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14</w:t>
                  </w:r>
                </w:p>
              </w:tc>
              <w:tc>
                <w:tcPr>
                  <w:tcW w:type="dxa" w:w="3238"/>
                </w:tcPr>
                <w:p>
                  <w:r>
                    <w:rPr>
                      <w:rFonts w:ascii="Times New Roman" w:hAnsi="Times New Roman" w:eastAsia="바탕"/>
                      <w:sz w:val="18"/>
                    </w:rPr>
                    <w:t>41%</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12%</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29%</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55%</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